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F5" w:rsidRPr="00F20BF5" w:rsidRDefault="00F20BF5" w:rsidP="00B149E2">
      <w:pPr>
        <w:pStyle w:val="Overskrift2"/>
        <w:spacing w:before="0"/>
        <w:contextualSpacing/>
        <w:rPr>
          <w:color w:val="FF0000"/>
          <w:sz w:val="22"/>
          <w:szCs w:val="22"/>
        </w:rPr>
      </w:pPr>
    </w:p>
    <w:p w:rsidR="00030F1D" w:rsidRPr="00DB1D1A" w:rsidRDefault="00D75C70" w:rsidP="00FF55DF">
      <w:pPr>
        <w:pStyle w:val="Overskrift2"/>
        <w:spacing w:before="0"/>
        <w:contextualSpacing/>
        <w:rPr>
          <w:color w:val="FF0000"/>
        </w:rPr>
      </w:pPr>
      <w:r w:rsidRPr="00DB1D1A">
        <w:rPr>
          <w:color w:val="FF0000"/>
        </w:rPr>
        <w:t>Efterlysning af drengene i uddannelsessystemet – hvor blev de af?</w:t>
      </w:r>
    </w:p>
    <w:p w:rsidR="00FF55DF" w:rsidRDefault="00FF55DF" w:rsidP="00FF55DF">
      <w:pPr>
        <w:spacing w:after="0"/>
        <w:contextualSpacing/>
        <w:rPr>
          <w:b/>
        </w:rPr>
      </w:pPr>
      <w:r>
        <w:rPr>
          <w:b/>
        </w:rPr>
        <w:t>Center for ungdomsforskning i samarbejde med Ligestillingsministeriet og</w:t>
      </w:r>
      <w:r w:rsidR="0089597F">
        <w:rPr>
          <w:b/>
        </w:rPr>
        <w:t xml:space="preserve"> </w:t>
      </w:r>
      <w:r>
        <w:rPr>
          <w:b/>
        </w:rPr>
        <w:t>Forum 100%</w:t>
      </w:r>
    </w:p>
    <w:p w:rsidR="00D75C70" w:rsidRDefault="00D75C70" w:rsidP="00FF55DF">
      <w:pPr>
        <w:spacing w:after="0"/>
        <w:contextualSpacing/>
        <w:rPr>
          <w:b/>
        </w:rPr>
      </w:pPr>
      <w:r>
        <w:rPr>
          <w:b/>
        </w:rPr>
        <w:t>Projektplan februar 2011.</w:t>
      </w:r>
    </w:p>
    <w:p w:rsidR="00B149E2" w:rsidRDefault="00B149E2" w:rsidP="00B149E2">
      <w:pPr>
        <w:spacing w:after="0"/>
        <w:contextualSpacing/>
      </w:pPr>
    </w:p>
    <w:p w:rsidR="00B149E2" w:rsidRPr="00D75C70" w:rsidRDefault="00B149E2" w:rsidP="00B149E2">
      <w:pPr>
        <w:pStyle w:val="Listeafsnit"/>
        <w:numPr>
          <w:ilvl w:val="0"/>
          <w:numId w:val="2"/>
        </w:numPr>
        <w:spacing w:after="0"/>
        <w:rPr>
          <w:b/>
        </w:rPr>
      </w:pPr>
      <w:r w:rsidRPr="00D75C70">
        <w:rPr>
          <w:b/>
        </w:rPr>
        <w:t>Baggrund</w:t>
      </w:r>
      <w:r w:rsidR="0077499F">
        <w:rPr>
          <w:b/>
        </w:rPr>
        <w:t xml:space="preserve"> og formål</w:t>
      </w:r>
    </w:p>
    <w:p w:rsidR="00FD79D9" w:rsidRDefault="00FD79D9" w:rsidP="00D04987">
      <w:pPr>
        <w:spacing w:after="0"/>
        <w:ind w:left="360"/>
      </w:pPr>
      <w:r>
        <w:t xml:space="preserve">Langt flere unge kvinder får en videregående uddannelse end unge mænd. </w:t>
      </w:r>
      <w:r w:rsidR="00752481">
        <w:t>Den lavere uddannelsesfrekvens</w:t>
      </w:r>
      <w:r w:rsidR="0089597F">
        <w:rPr>
          <w:color w:val="548DD4" w:themeColor="text2" w:themeTint="99"/>
        </w:rPr>
        <w:t xml:space="preserve"> </w:t>
      </w:r>
      <w:r w:rsidR="009F000A">
        <w:t>skyldes især at færre af dem tager en gymnasial uddannelse, men også i forhold til studenternes videre veje er der kønsmæssig skævhed. I følge Undervisningsministeriets fremskrivninger vil 17% af de mænd, der blev studenter i 00’erne, hverken få en videregående uddannelse eller en erhvervsuddannelse, mens det samme gælder 11% af de kvindelige studenter</w:t>
      </w:r>
      <w:r w:rsidR="009F000A">
        <w:rPr>
          <w:rStyle w:val="Fodnotehenvisning"/>
        </w:rPr>
        <w:footnoteReference w:id="1"/>
      </w:r>
      <w:r w:rsidR="009F000A">
        <w:t xml:space="preserve">. </w:t>
      </w:r>
      <w:r w:rsidR="009374EA">
        <w:t>Tilsvarende er der flere unge mænd end kvinder, som tre år efter endt gymnasium endnu ikke er i gang med en videregående uddannelse</w:t>
      </w:r>
      <w:r w:rsidR="009374EA">
        <w:rPr>
          <w:rStyle w:val="Fodnotehenvisning"/>
        </w:rPr>
        <w:footnoteReference w:id="2"/>
      </w:r>
      <w:r w:rsidR="009374EA">
        <w:t>.</w:t>
      </w:r>
      <w:r w:rsidR="00BC56F0">
        <w:t xml:space="preserve"> </w:t>
      </w:r>
    </w:p>
    <w:p w:rsidR="00FD79D9" w:rsidRDefault="00FD79D9" w:rsidP="00B149E2">
      <w:pPr>
        <w:spacing w:after="0"/>
        <w:ind w:left="360"/>
      </w:pPr>
    </w:p>
    <w:p w:rsidR="00D75C70" w:rsidRDefault="009374EA" w:rsidP="00B149E2">
      <w:pPr>
        <w:spacing w:after="0"/>
        <w:ind w:left="360"/>
      </w:pPr>
      <w:r>
        <w:t xml:space="preserve">Samtidig </w:t>
      </w:r>
      <w:r w:rsidR="00FD79D9">
        <w:t>er der store kønsmæssige forskelle på, hvilke uddannelser hhv. unge mænd og unge kvinder vælger efter gymnasiet</w:t>
      </w:r>
      <w:r w:rsidR="00A14B09">
        <w:t xml:space="preserve"> – både hvad angår fag og uddannelsesniveau</w:t>
      </w:r>
      <w:r w:rsidR="00FD79D9">
        <w:t>. Der er en overvægt af mænd på de tekniske og naturvide</w:t>
      </w:r>
      <w:r w:rsidR="00EF3EEC">
        <w:t>nskabelige uddannelser</w:t>
      </w:r>
      <w:r w:rsidR="00FD79D9">
        <w:t xml:space="preserve">. Mens der er en overvægt af kvinder på de humanistiske og pædagogiske uddannelser samt på social- og sundhedsuddannelser. </w:t>
      </w:r>
      <w:r>
        <w:t>De unge kvinder vælger desuden i højere g</w:t>
      </w:r>
      <w:r w:rsidR="00157DF7">
        <w:t>rad lange og mellemlange videregående uddannelser</w:t>
      </w:r>
      <w:r w:rsidR="009F000A">
        <w:t>, mens</w:t>
      </w:r>
      <w:r w:rsidR="00EF3EEC">
        <w:t xml:space="preserve"> de unge mænd </w:t>
      </w:r>
      <w:r w:rsidR="009F000A">
        <w:t xml:space="preserve">i højere grad </w:t>
      </w:r>
      <w:r w:rsidR="00EF3EEC">
        <w:t>vælger</w:t>
      </w:r>
      <w:r w:rsidR="009F000A">
        <w:t xml:space="preserve"> en kort videregående uddannelse eller en erhvervsuddannelse i forlængelse af deres studentereksamen</w:t>
      </w:r>
      <w:r w:rsidR="00157DF7">
        <w:t>.</w:t>
      </w:r>
    </w:p>
    <w:p w:rsidR="00FD79D9" w:rsidRDefault="00FD79D9" w:rsidP="00B149E2">
      <w:pPr>
        <w:spacing w:after="0"/>
        <w:ind w:left="360"/>
      </w:pPr>
    </w:p>
    <w:p w:rsidR="002B6F35" w:rsidRDefault="00C25700" w:rsidP="00D04987">
      <w:pPr>
        <w:spacing w:after="0"/>
        <w:ind w:left="360"/>
      </w:pPr>
      <w:r>
        <w:t>Sigtet med projektet er derfor at undersø</w:t>
      </w:r>
      <w:r w:rsidR="002B6F35">
        <w:t>ge, hvor de unge mænd bliver af.  Blandt med afsæt i følgende spørgsmål:</w:t>
      </w:r>
    </w:p>
    <w:p w:rsidR="00D04987" w:rsidRDefault="00D04987" w:rsidP="00D04987">
      <w:pPr>
        <w:spacing w:after="0"/>
        <w:ind w:left="360"/>
      </w:pPr>
    </w:p>
    <w:p w:rsidR="002B6F35" w:rsidRDefault="00C55676" w:rsidP="002B6F35">
      <w:pPr>
        <w:pStyle w:val="Listeafsnit"/>
        <w:numPr>
          <w:ilvl w:val="0"/>
          <w:numId w:val="5"/>
        </w:numPr>
        <w:spacing w:after="0"/>
      </w:pPr>
      <w:r>
        <w:t>H</w:t>
      </w:r>
      <w:r w:rsidR="00C25700">
        <w:t xml:space="preserve">vorfor fravælger de </w:t>
      </w:r>
      <w:r w:rsidR="002B6F35">
        <w:t xml:space="preserve">unge mænd </w:t>
      </w:r>
      <w:r w:rsidR="00C25700">
        <w:t>i højere grad end de unge kvinder at ta</w:t>
      </w:r>
      <w:r>
        <w:t xml:space="preserve">ge en videregående uddannelse? </w:t>
      </w:r>
    </w:p>
    <w:p w:rsidR="00D04987" w:rsidRDefault="00292E54" w:rsidP="00D04987">
      <w:pPr>
        <w:pStyle w:val="Listeafsnit"/>
        <w:numPr>
          <w:ilvl w:val="0"/>
          <w:numId w:val="5"/>
        </w:numPr>
        <w:spacing w:after="0"/>
      </w:pPr>
      <w:r>
        <w:t>Hvad tilvælger de unge mænd, der ikke tager en videregående uddannelse?</w:t>
      </w:r>
    </w:p>
    <w:p w:rsidR="005C21F0" w:rsidRDefault="005C21F0" w:rsidP="00D04987">
      <w:pPr>
        <w:pStyle w:val="Listeafsnit"/>
        <w:numPr>
          <w:ilvl w:val="0"/>
          <w:numId w:val="5"/>
        </w:numPr>
        <w:spacing w:after="0"/>
      </w:pPr>
      <w:r>
        <w:t>Hvilken betydning har geografi, gymnasieretning, karaktergennemsnit og</w:t>
      </w:r>
      <w:r w:rsidR="00DD7185">
        <w:t xml:space="preserve"> </w:t>
      </w:r>
      <w:r>
        <w:t>social baggrund for de unge mænds forløb efter gymnasiet?</w:t>
      </w:r>
    </w:p>
    <w:p w:rsidR="00D75C70" w:rsidRDefault="002B6F35" w:rsidP="00292E54">
      <w:pPr>
        <w:pStyle w:val="Listeafsnit"/>
        <w:numPr>
          <w:ilvl w:val="0"/>
          <w:numId w:val="5"/>
        </w:numPr>
        <w:spacing w:after="0"/>
      </w:pPr>
      <w:r>
        <w:t>I hvilket o</w:t>
      </w:r>
      <w:r w:rsidR="006A0FF2">
        <w:t xml:space="preserve">mfang er der forskel på de forløb, som </w:t>
      </w:r>
      <w:r>
        <w:t>etnisk danske mænd og m</w:t>
      </w:r>
      <w:r w:rsidR="006A0FF2">
        <w:t>ænd med indvandrerbaggrund har efter gymnasiet</w:t>
      </w:r>
      <w:r>
        <w:t xml:space="preserve">? </w:t>
      </w:r>
    </w:p>
    <w:p w:rsidR="00C25700" w:rsidRDefault="00C25700" w:rsidP="00B149E2">
      <w:pPr>
        <w:spacing w:after="0"/>
        <w:ind w:left="360"/>
      </w:pPr>
    </w:p>
    <w:p w:rsidR="00275329" w:rsidRPr="0050748B" w:rsidRDefault="00C25700" w:rsidP="00EC1FA3">
      <w:pPr>
        <w:spacing w:after="0"/>
        <w:ind w:left="360"/>
      </w:pPr>
      <w:r>
        <w:t xml:space="preserve">Projektet er finansieret i et samarbejdet mellem Ligestillingsministeriet og foreningen </w:t>
      </w:r>
      <w:r w:rsidR="00B149E2">
        <w:t>Forum 100%</w:t>
      </w:r>
      <w:r w:rsidR="00EC1FA3">
        <w:rPr>
          <w:rStyle w:val="Fodnotehenvisning"/>
        </w:rPr>
        <w:footnoteReference w:id="3"/>
      </w:r>
      <w:r w:rsidR="00EC1FA3">
        <w:t>,</w:t>
      </w:r>
      <w:r w:rsidR="002B6F35">
        <w:t xml:space="preserve"> og resultaterne fra projektet skal kvalificere begge organisationers videre arbejde</w:t>
      </w:r>
      <w:r w:rsidR="00D75C70">
        <w:t xml:space="preserve">. </w:t>
      </w:r>
      <w:r w:rsidR="002B6F35">
        <w:t>Projektet indgår således som en væsentlig indsats i Ligestillingsministeriets perspektiv- og handlingsplan for 2010 i rela</w:t>
      </w:r>
      <w:r w:rsidR="006A0FF2">
        <w:t>tion til ministeriets mål om at</w:t>
      </w:r>
      <w:r w:rsidR="002B6F35">
        <w:rPr>
          <w:i/>
        </w:rPr>
        <w:t xml:space="preserve"> Piger og drenge skal bruge hele uddannelsespaletten.</w:t>
      </w:r>
      <w:r w:rsidR="0050748B">
        <w:rPr>
          <w:i/>
        </w:rPr>
        <w:t xml:space="preserve"> </w:t>
      </w:r>
      <w:r w:rsidR="0050748B">
        <w:t>Projektet skal d</w:t>
      </w:r>
      <w:r w:rsidR="00A41330">
        <w:t>erfor komme med anbefalinger til, hv</w:t>
      </w:r>
      <w:r w:rsidR="00B37FE9">
        <w:t xml:space="preserve">ad der </w:t>
      </w:r>
      <w:r w:rsidR="0050748B">
        <w:t>kan gøres</w:t>
      </w:r>
      <w:r w:rsidR="00B37FE9">
        <w:t xml:space="preserve"> – </w:t>
      </w:r>
      <w:r w:rsidR="00292E54">
        <w:t>ligestillings</w:t>
      </w:r>
      <w:r w:rsidR="00B37FE9">
        <w:t xml:space="preserve">politisk og i uddannelsessystemet - </w:t>
      </w:r>
      <w:r w:rsidR="0050748B">
        <w:t>i forhold til at øge andelen af unge mænd, der tager en videregående uddannelse.</w:t>
      </w:r>
    </w:p>
    <w:p w:rsidR="00275329" w:rsidRDefault="00275329" w:rsidP="00B149E2">
      <w:pPr>
        <w:spacing w:after="0"/>
        <w:ind w:left="360"/>
      </w:pPr>
    </w:p>
    <w:p w:rsidR="00B149E2" w:rsidRDefault="002B6F35" w:rsidP="002B6F35">
      <w:pPr>
        <w:spacing w:after="0"/>
        <w:ind w:left="360"/>
      </w:pPr>
      <w:r>
        <w:t>Tilsvarende indgår</w:t>
      </w:r>
      <w:r w:rsidR="0077499F">
        <w:t xml:space="preserve"> projektet i et større forskningsprojekt</w:t>
      </w:r>
      <w:r>
        <w:t xml:space="preserve"> </w:t>
      </w:r>
      <w:r w:rsidR="006A0FF2">
        <w:t xml:space="preserve">under Forum 100% omkring </w:t>
      </w:r>
      <w:r w:rsidR="006A0FF2">
        <w:rPr>
          <w:i/>
        </w:rPr>
        <w:t>Køn og læring i uddannelsessystemet.</w:t>
      </w:r>
      <w:r w:rsidR="006A0FF2">
        <w:t xml:space="preserve">  </w:t>
      </w:r>
      <w:r w:rsidR="0077499F">
        <w:t>Sigtet er at undersøge kønnets betydning i forhold til realiseringen af de nati</w:t>
      </w:r>
      <w:r w:rsidR="0050748B">
        <w:t>ona</w:t>
      </w:r>
      <w:r w:rsidR="0077499F">
        <w:t xml:space="preserve">le målsætninger om, at </w:t>
      </w:r>
      <w:r w:rsidR="00A655B6">
        <w:t xml:space="preserve">så mange unge som muligt – ideelt set 100 % - </w:t>
      </w:r>
      <w:r w:rsidR="0077499F">
        <w:t>ska</w:t>
      </w:r>
      <w:r w:rsidR="0050748B">
        <w:t xml:space="preserve">l have en </w:t>
      </w:r>
      <w:r w:rsidR="00A655B6">
        <w:t>ungdoms</w:t>
      </w:r>
      <w:r w:rsidR="0050748B">
        <w:t>uddannels</w:t>
      </w:r>
      <w:r w:rsidR="0077499F">
        <w:t xml:space="preserve">e og 50% skal have en videregående uddannelse. </w:t>
      </w:r>
      <w:r w:rsidR="0050748B">
        <w:t>Forskningsprojektet gennemføres i samarbejde</w:t>
      </w:r>
      <w:r w:rsidR="000C6C4D">
        <w:t xml:space="preserve"> med Forums 100</w:t>
      </w:r>
      <w:r w:rsidR="00B37FE9">
        <w:t xml:space="preserve">%s medlemsskoler. Projektets resultater skal derfor formidles i en form, der </w:t>
      </w:r>
      <w:r w:rsidR="000F6C62">
        <w:t>kan anvendes af de involverede uddannelsesinstitutioner.</w:t>
      </w:r>
    </w:p>
    <w:p w:rsidR="000F6C62" w:rsidRPr="000F6C62" w:rsidRDefault="000F6C62" w:rsidP="000F6C62">
      <w:pPr>
        <w:rPr>
          <w:b/>
        </w:rPr>
      </w:pPr>
    </w:p>
    <w:p w:rsidR="000F6C62" w:rsidRPr="000F6C62" w:rsidRDefault="00E15CC4" w:rsidP="000F6C62">
      <w:pPr>
        <w:pStyle w:val="Listeafsnit"/>
        <w:numPr>
          <w:ilvl w:val="0"/>
          <w:numId w:val="2"/>
        </w:numPr>
        <w:spacing w:after="0"/>
        <w:rPr>
          <w:b/>
        </w:rPr>
      </w:pPr>
      <w:r>
        <w:rPr>
          <w:b/>
        </w:rPr>
        <w:t>Forsknings</w:t>
      </w:r>
      <w:r w:rsidR="000F6C62" w:rsidRPr="000F6C62">
        <w:rPr>
          <w:b/>
        </w:rPr>
        <w:t>design</w:t>
      </w:r>
      <w:r>
        <w:rPr>
          <w:b/>
        </w:rPr>
        <w:t xml:space="preserve"> og metoder</w:t>
      </w:r>
    </w:p>
    <w:p w:rsidR="004F0F0B" w:rsidRDefault="000F6C62" w:rsidP="004F0F0B">
      <w:pPr>
        <w:spacing w:after="0"/>
        <w:ind w:left="360"/>
      </w:pPr>
      <w:r>
        <w:t>Projektet består af to delundersøgelser.</w:t>
      </w:r>
      <w:r w:rsidR="004F0F0B">
        <w:t xml:space="preserve"> En kvantitativ registerundersøgelse, der kortlægger de unges færden efter gymnasiet og dermed giver svar på, </w:t>
      </w:r>
      <w:r w:rsidR="004F0F0B" w:rsidRPr="004F0F0B">
        <w:rPr>
          <w:b/>
          <w:i/>
        </w:rPr>
        <w:t>hvad</w:t>
      </w:r>
      <w:r w:rsidR="004F0F0B">
        <w:t xml:space="preserve"> de unge gør. Samt en kvalitativ undersøgelse, der gennem fokusgruppeinterviews udvikler tentative bud på, </w:t>
      </w:r>
      <w:r w:rsidR="004F0F0B" w:rsidRPr="004F0F0B">
        <w:rPr>
          <w:b/>
          <w:i/>
        </w:rPr>
        <w:t xml:space="preserve">hvorfor </w:t>
      </w:r>
      <w:r w:rsidR="004F0F0B">
        <w:t>de unge gør som de gør.</w:t>
      </w:r>
    </w:p>
    <w:p w:rsidR="000F6C62" w:rsidRDefault="000F6C62" w:rsidP="002B6F35">
      <w:pPr>
        <w:spacing w:after="0"/>
        <w:ind w:left="360"/>
      </w:pPr>
    </w:p>
    <w:p w:rsidR="00591900" w:rsidRDefault="00BC56F0" w:rsidP="00591900">
      <w:pPr>
        <w:spacing w:after="0"/>
        <w:ind w:left="360"/>
      </w:pPr>
      <w:r>
        <w:t>Den kvantitative del gennem</w:t>
      </w:r>
      <w:r w:rsidR="009D6E73">
        <w:t xml:space="preserve">føres som </w:t>
      </w:r>
      <w:r w:rsidR="004F0F0B">
        <w:rPr>
          <w:b/>
        </w:rPr>
        <w:t>en registeranalyse</w:t>
      </w:r>
      <w:r w:rsidR="009D6E73">
        <w:rPr>
          <w:b/>
        </w:rPr>
        <w:t xml:space="preserve"> </w:t>
      </w:r>
      <w:r w:rsidR="009D6E73">
        <w:t>baseret på tal fra Danmarks Statistik. Sigtet er at udarbejde en</w:t>
      </w:r>
      <w:r w:rsidR="008E7FD3">
        <w:t xml:space="preserve"> oversigt over særligt de unge mænds</w:t>
      </w:r>
      <w:r w:rsidR="009D6E73">
        <w:t xml:space="preserve"> veje efter endt </w:t>
      </w:r>
      <w:r w:rsidR="005F2950">
        <w:t xml:space="preserve">gymnasial uddannelse. </w:t>
      </w:r>
      <w:r w:rsidR="009D6E73">
        <w:t xml:space="preserve"> Registeranalysen vil omfatte alle, der sommeren </w:t>
      </w:r>
      <w:r w:rsidR="005F2950">
        <w:t xml:space="preserve">2006 bestod en gymnasial uddannelse (STX, </w:t>
      </w:r>
      <w:r w:rsidR="00D04987">
        <w:t xml:space="preserve">HF, </w:t>
      </w:r>
      <w:r w:rsidR="005F2950">
        <w:t>HHX eller HTX).</w:t>
      </w:r>
    </w:p>
    <w:p w:rsidR="00591900" w:rsidRDefault="00591900" w:rsidP="00591900">
      <w:pPr>
        <w:spacing w:after="0"/>
        <w:ind w:left="360"/>
      </w:pPr>
    </w:p>
    <w:p w:rsidR="00591900" w:rsidRPr="00591900" w:rsidRDefault="00D04987" w:rsidP="00591900">
      <w:pPr>
        <w:spacing w:after="0"/>
        <w:ind w:left="360"/>
      </w:pPr>
      <w:r>
        <w:t>Analysen skal belyse forbindelsen</w:t>
      </w:r>
      <w:r w:rsidR="005F2950">
        <w:t xml:space="preserve"> mellem køn, videregående u</w:t>
      </w:r>
      <w:r w:rsidR="00153CB2">
        <w:t>ddannelse (frekvens og uddannels</w:t>
      </w:r>
      <w:r w:rsidR="005F2950">
        <w:t>esområde) samt e</w:t>
      </w:r>
      <w:r w:rsidR="001124ED">
        <w:t>n række baggrundsfaktorer</w:t>
      </w:r>
      <w:r w:rsidR="00153CB2">
        <w:t xml:space="preserve"> så som</w:t>
      </w:r>
      <w:r w:rsidR="005F2950">
        <w:t xml:space="preserve">: </w:t>
      </w:r>
      <w:r w:rsidR="00153CB2">
        <w:t>For</w:t>
      </w:r>
      <w:r>
        <w:t>ældrenes uddannelse og indkomst</w:t>
      </w:r>
      <w:r w:rsidR="00153CB2">
        <w:t xml:space="preserve">, </w:t>
      </w:r>
      <w:r w:rsidR="001124ED">
        <w:t>kulturel baggrund (dansk vs. i</w:t>
      </w:r>
      <w:r w:rsidR="001124ED" w:rsidRPr="00591900">
        <w:rPr>
          <w:rFonts w:cstheme="minorHAnsi"/>
        </w:rPr>
        <w:t>ndvandrer og efterkommere), gymnasieretning, karaktergennemsnit samt arbejdsmarkedsstatus (beskæftiget/ikke beskæftiget).</w:t>
      </w:r>
      <w:r w:rsidR="00591900" w:rsidRPr="00591900">
        <w:rPr>
          <w:rFonts w:cstheme="minorHAnsi"/>
        </w:rPr>
        <w:t xml:space="preserve"> </w:t>
      </w:r>
      <w:r w:rsidR="0026381E">
        <w:rPr>
          <w:rFonts w:cstheme="minorHAnsi"/>
        </w:rPr>
        <w:t xml:space="preserve">Registeranalysen vil blive sammenholdt </w:t>
      </w:r>
      <w:r w:rsidR="00766F93">
        <w:rPr>
          <w:rFonts w:cstheme="minorHAnsi"/>
        </w:rPr>
        <w:t>me</w:t>
      </w:r>
      <w:r w:rsidR="0026381E">
        <w:rPr>
          <w:rFonts w:cstheme="minorHAnsi"/>
        </w:rPr>
        <w:t>d</w:t>
      </w:r>
      <w:r w:rsidR="00766F93">
        <w:rPr>
          <w:rFonts w:cstheme="minorHAnsi"/>
        </w:rPr>
        <w:t xml:space="preserve"> andet relevant statistisk materiale, bla. </w:t>
      </w:r>
      <w:r w:rsidR="007741BD">
        <w:rPr>
          <w:rFonts w:cstheme="minorHAnsi"/>
        </w:rPr>
        <w:t>fra Den Koordinerede T</w:t>
      </w:r>
      <w:r w:rsidR="0026381E">
        <w:rPr>
          <w:rFonts w:cstheme="minorHAnsi"/>
        </w:rPr>
        <w:t>ilmelding</w:t>
      </w:r>
      <w:r w:rsidR="00766F93">
        <w:rPr>
          <w:rFonts w:cstheme="minorHAnsi"/>
        </w:rPr>
        <w:t xml:space="preserve">, med henblik på at </w:t>
      </w:r>
      <w:proofErr w:type="gramStart"/>
      <w:r w:rsidR="00766F93">
        <w:rPr>
          <w:rFonts w:cstheme="minorHAnsi"/>
        </w:rPr>
        <w:t>kunne</w:t>
      </w:r>
      <w:proofErr w:type="gramEnd"/>
      <w:r w:rsidR="00906B76">
        <w:rPr>
          <w:rFonts w:cstheme="minorHAnsi"/>
        </w:rPr>
        <w:t xml:space="preserve"> </w:t>
      </w:r>
      <w:r w:rsidR="005C21F0">
        <w:rPr>
          <w:rFonts w:cstheme="minorHAnsi"/>
        </w:rPr>
        <w:t>belyse fo</w:t>
      </w:r>
      <w:r w:rsidR="009D563D">
        <w:rPr>
          <w:rFonts w:cstheme="minorHAnsi"/>
        </w:rPr>
        <w:t>rbindelse mellem køn og søgemøn</w:t>
      </w:r>
      <w:r w:rsidR="005C21F0">
        <w:rPr>
          <w:rFonts w:cstheme="minorHAnsi"/>
        </w:rPr>
        <w:t>stre (hhv. ansøgning, optag og afbrud).</w:t>
      </w:r>
      <w:r w:rsidR="0026381E">
        <w:rPr>
          <w:rFonts w:cstheme="minorHAnsi"/>
        </w:rPr>
        <w:t xml:space="preserve"> </w:t>
      </w:r>
      <w:r w:rsidR="00591900" w:rsidRPr="00591900">
        <w:rPr>
          <w:rFonts w:cstheme="minorHAnsi"/>
        </w:rPr>
        <w:t>P</w:t>
      </w:r>
      <w:r w:rsidR="00591900">
        <w:rPr>
          <w:rFonts w:cstheme="minorHAnsi"/>
        </w:rPr>
        <w:t>å baggrund af registeranalysen</w:t>
      </w:r>
      <w:r w:rsidR="00591900" w:rsidRPr="00591900">
        <w:rPr>
          <w:rFonts w:cstheme="minorHAnsi"/>
        </w:rPr>
        <w:t xml:space="preserve"> opdeles studenterne fra 2006 i forskellige relevante undersøgelsesgrupper, som danner udgangspunkt for undersøgelsens anden del. </w:t>
      </w:r>
    </w:p>
    <w:p w:rsidR="001124ED" w:rsidRDefault="001124ED" w:rsidP="001124ED">
      <w:pPr>
        <w:spacing w:after="0"/>
        <w:ind w:left="360"/>
      </w:pPr>
    </w:p>
    <w:p w:rsidR="003F4244" w:rsidRDefault="001124ED" w:rsidP="003F4244">
      <w:pPr>
        <w:spacing w:after="0"/>
        <w:ind w:firstLine="360"/>
        <w:rPr>
          <w:rFonts w:ascii="Calibri" w:hAnsi="Calibri" w:cs="Calibri"/>
        </w:rPr>
      </w:pPr>
      <w:r w:rsidRPr="00A16069">
        <w:rPr>
          <w:rFonts w:ascii="Calibri" w:hAnsi="Calibri" w:cs="Calibri"/>
        </w:rPr>
        <w:t xml:space="preserve">Anden del består af </w:t>
      </w:r>
      <w:r w:rsidRPr="00591900">
        <w:rPr>
          <w:rFonts w:ascii="Calibri" w:hAnsi="Calibri" w:cs="Calibri"/>
          <w:b/>
        </w:rPr>
        <w:t xml:space="preserve">en kvalitativ </w:t>
      </w:r>
      <w:r w:rsidR="00290193" w:rsidRPr="00591900">
        <w:rPr>
          <w:rFonts w:ascii="Calibri" w:hAnsi="Calibri" w:cs="Calibri"/>
          <w:b/>
        </w:rPr>
        <w:t>undersøgelse</w:t>
      </w:r>
      <w:r w:rsidR="003F4244">
        <w:rPr>
          <w:rFonts w:ascii="Calibri" w:hAnsi="Calibri" w:cs="Calibri"/>
        </w:rPr>
        <w:t xml:space="preserve"> af de udvalgte</w:t>
      </w:r>
      <w:r w:rsidRPr="00A16069">
        <w:rPr>
          <w:rFonts w:ascii="Calibri" w:hAnsi="Calibri" w:cs="Calibri"/>
        </w:rPr>
        <w:t xml:space="preserve"> undersøgelsesgrupper</w:t>
      </w:r>
      <w:r w:rsidR="003F4244">
        <w:rPr>
          <w:rFonts w:ascii="Calibri" w:hAnsi="Calibri" w:cs="Calibri"/>
        </w:rPr>
        <w:t xml:space="preserve"> og deres </w:t>
      </w:r>
    </w:p>
    <w:p w:rsidR="001124ED" w:rsidRDefault="003F4244" w:rsidP="00FD669A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erfaringer og overvejelser i forbindelse med valget af videregående uddannelse</w:t>
      </w:r>
      <w:r w:rsidR="00E15CC4">
        <w:rPr>
          <w:rFonts w:ascii="Calibri" w:hAnsi="Calibri" w:cs="Calibri"/>
        </w:rPr>
        <w:t>. Undersøgelsen omfatter</w:t>
      </w:r>
      <w:r w:rsidR="001124ED" w:rsidRPr="00A16069">
        <w:rPr>
          <w:rFonts w:ascii="Calibri" w:hAnsi="Calibri" w:cs="Calibri"/>
        </w:rPr>
        <w:t xml:space="preserve"> i alt 8-10 fokusgruppeinterviews med mellem 5-8 deltagere, hvor særligt unge som ikke er registreret i gang med en uddannelse 3 år efter endt gymnasium er overrepræsenteret og hvor sæ</w:t>
      </w:r>
      <w:r w:rsidR="00591900">
        <w:rPr>
          <w:rFonts w:ascii="Calibri" w:hAnsi="Calibri" w:cs="Calibri"/>
        </w:rPr>
        <w:t>rligt drengegruppen og indvandrer/ efterkommergruppen</w:t>
      </w:r>
      <w:r w:rsidR="00E15CC4">
        <w:rPr>
          <w:rFonts w:ascii="Calibri" w:hAnsi="Calibri" w:cs="Calibri"/>
        </w:rPr>
        <w:t xml:space="preserve"> </w:t>
      </w:r>
      <w:r w:rsidR="001124ED" w:rsidRPr="00A16069">
        <w:rPr>
          <w:rFonts w:ascii="Calibri" w:hAnsi="Calibri" w:cs="Calibri"/>
        </w:rPr>
        <w:t>sikres størs</w:t>
      </w:r>
      <w:r w:rsidR="00591900">
        <w:rPr>
          <w:rFonts w:ascii="Calibri" w:hAnsi="Calibri" w:cs="Calibri"/>
        </w:rPr>
        <w:t>t mulig volumen. Samtidig</w:t>
      </w:r>
      <w:r w:rsidR="00290193">
        <w:rPr>
          <w:rFonts w:ascii="Calibri" w:hAnsi="Calibri" w:cs="Calibri"/>
        </w:rPr>
        <w:t xml:space="preserve"> interview</w:t>
      </w:r>
      <w:r w:rsidR="00591900">
        <w:rPr>
          <w:rFonts w:ascii="Calibri" w:hAnsi="Calibri" w:cs="Calibri"/>
        </w:rPr>
        <w:t>e</w:t>
      </w:r>
      <w:r w:rsidR="00290193">
        <w:rPr>
          <w:rFonts w:ascii="Calibri" w:hAnsi="Calibri" w:cs="Calibri"/>
        </w:rPr>
        <w:t xml:space="preserve">s </w:t>
      </w:r>
      <w:r w:rsidR="001124ED" w:rsidRPr="00A16069">
        <w:rPr>
          <w:rFonts w:ascii="Calibri" w:hAnsi="Calibri" w:cs="Calibri"/>
        </w:rPr>
        <w:t xml:space="preserve">en rimelig andel unge kvinder </w:t>
      </w:r>
      <w:r w:rsidR="00292E54">
        <w:rPr>
          <w:rFonts w:ascii="Calibri" w:hAnsi="Calibri" w:cs="Calibri"/>
        </w:rPr>
        <w:t xml:space="preserve">samt mænd, der er forsat i videregående uddannelse </w:t>
      </w:r>
      <w:r w:rsidR="001124ED" w:rsidRPr="00A16069">
        <w:rPr>
          <w:rFonts w:ascii="Calibri" w:hAnsi="Calibri" w:cs="Calibri"/>
        </w:rPr>
        <w:t>som sammen</w:t>
      </w:r>
      <w:r w:rsidR="00E15CC4">
        <w:rPr>
          <w:rFonts w:ascii="Calibri" w:hAnsi="Calibri" w:cs="Calibri"/>
        </w:rPr>
        <w:t>ligningsgrundlag og som afsæt</w:t>
      </w:r>
      <w:r w:rsidR="001124ED" w:rsidRPr="00A16069">
        <w:rPr>
          <w:rFonts w:ascii="Calibri" w:hAnsi="Calibri" w:cs="Calibri"/>
        </w:rPr>
        <w:t xml:space="preserve"> for tentativ analyse af også den samlede gruppe af unges adfærd efter endt gymnasial uddannelse. </w:t>
      </w:r>
    </w:p>
    <w:p w:rsidR="00BE0D40" w:rsidRDefault="00BE0D40" w:rsidP="00C61D40">
      <w:pPr>
        <w:spacing w:after="0"/>
      </w:pPr>
    </w:p>
    <w:p w:rsidR="00292E54" w:rsidRPr="00EB4A80" w:rsidRDefault="00292E54" w:rsidP="00C61D40">
      <w:pPr>
        <w:spacing w:after="0"/>
        <w:rPr>
          <w:b/>
        </w:rPr>
      </w:pPr>
    </w:p>
    <w:p w:rsidR="00C61D40" w:rsidRPr="00EB4A80" w:rsidRDefault="00281C38" w:rsidP="00C61D40">
      <w:pPr>
        <w:pStyle w:val="Listeafsnit"/>
        <w:numPr>
          <w:ilvl w:val="0"/>
          <w:numId w:val="2"/>
        </w:numPr>
        <w:spacing w:after="0"/>
        <w:rPr>
          <w:b/>
        </w:rPr>
      </w:pPr>
      <w:r>
        <w:rPr>
          <w:b/>
        </w:rPr>
        <w:t>Teoretisk perspektivering</w:t>
      </w:r>
    </w:p>
    <w:p w:rsidR="004756FA" w:rsidRDefault="00EB4A80" w:rsidP="004756FA">
      <w:pPr>
        <w:spacing w:after="0"/>
        <w:ind w:left="360"/>
      </w:pPr>
      <w:r>
        <w:t xml:space="preserve">Både indsamlingen og analysen af undersøgelsesmaterialet vil blive perspektiveret i forhold </w:t>
      </w:r>
      <w:r w:rsidR="00355A80">
        <w:t xml:space="preserve">tidligere forskning </w:t>
      </w:r>
      <w:r w:rsidR="000B5FFF">
        <w:t xml:space="preserve">på området. Projektet kan derved </w:t>
      </w:r>
      <w:r w:rsidR="00355A80">
        <w:t>medvirke til at</w:t>
      </w:r>
      <w:r w:rsidR="000B5FFF">
        <w:t xml:space="preserve"> afprøve og udvikle nogle af de </w:t>
      </w:r>
      <w:r w:rsidR="00355A80">
        <w:t>forklaringer</w:t>
      </w:r>
      <w:r w:rsidR="00AC5E53">
        <w:t>, som indtil nu er blevet fremført</w:t>
      </w:r>
      <w:r w:rsidR="000B5FFF">
        <w:t xml:space="preserve"> i forhold til køn og uddannelsesvalg</w:t>
      </w:r>
      <w:r w:rsidR="00355A80">
        <w:t>.</w:t>
      </w:r>
      <w:r w:rsidR="00FD669A">
        <w:t xml:space="preserve"> </w:t>
      </w:r>
      <w:r w:rsidR="0027657F">
        <w:t xml:space="preserve">Samt udvikle nye </w:t>
      </w:r>
      <w:r w:rsidR="009F000A">
        <w:t>forklaringer med afsæt i</w:t>
      </w:r>
      <w:r w:rsidR="0027657F">
        <w:t xml:space="preserve"> de begrundelser, de unge selv har med hens</w:t>
      </w:r>
      <w:r w:rsidR="009F000A">
        <w:t>yn til deres uddannelsesvalg.</w:t>
      </w:r>
    </w:p>
    <w:p w:rsidR="004756FA" w:rsidRDefault="004756FA" w:rsidP="004756FA">
      <w:pPr>
        <w:spacing w:after="0"/>
        <w:ind w:left="360"/>
      </w:pPr>
    </w:p>
    <w:p w:rsidR="00281C38" w:rsidRDefault="00EB4A80" w:rsidP="004756FA">
      <w:pPr>
        <w:spacing w:after="0"/>
        <w:ind w:left="360"/>
      </w:pPr>
      <w:r>
        <w:t>Der vil derfor i forbindelse med</w:t>
      </w:r>
      <w:r w:rsidR="00281C38">
        <w:t xml:space="preserve"> projektet blive foretaget</w:t>
      </w:r>
      <w:r w:rsidR="000B5FFF">
        <w:t xml:space="preserve"> en </w:t>
      </w:r>
      <w:r w:rsidR="000B5FFF" w:rsidRPr="004756FA">
        <w:rPr>
          <w:i/>
        </w:rPr>
        <w:t>mapping</w:t>
      </w:r>
      <w:r w:rsidR="000B5FFF">
        <w:t xml:space="preserve"> over væsentlige teoretiske perspektiver</w:t>
      </w:r>
      <w:r w:rsidR="00281C38">
        <w:t xml:space="preserve"> og forklaringer</w:t>
      </w:r>
      <w:r w:rsidR="000B5FFF">
        <w:t>, som blandt andet vil danne afsæt for udformning af interviewgu</w:t>
      </w:r>
      <w:r w:rsidR="004756FA">
        <w:t>ide til fokusgruppeinterviewene.</w:t>
      </w:r>
    </w:p>
    <w:p w:rsidR="00281C38" w:rsidRDefault="00281C38" w:rsidP="009F000A">
      <w:pPr>
        <w:spacing w:after="0"/>
      </w:pPr>
    </w:p>
    <w:p w:rsidR="00281C38" w:rsidRDefault="00281C38" w:rsidP="004756FA">
      <w:pPr>
        <w:spacing w:after="0"/>
      </w:pPr>
      <w:bookmarkStart w:id="0" w:name="_GoBack"/>
      <w:bookmarkEnd w:id="0"/>
    </w:p>
    <w:tbl>
      <w:tblPr>
        <w:tblStyle w:val="Mediumskygge11"/>
        <w:tblW w:w="0" w:type="auto"/>
        <w:tblInd w:w="534" w:type="dxa"/>
        <w:tblLook w:val="04A0"/>
      </w:tblPr>
      <w:tblGrid>
        <w:gridCol w:w="8363"/>
      </w:tblGrid>
      <w:tr w:rsidR="00281C38" w:rsidTr="004756FA">
        <w:trPr>
          <w:cnfStyle w:val="100000000000"/>
        </w:trPr>
        <w:tc>
          <w:tcPr>
            <w:cnfStyle w:val="001000000000"/>
            <w:tcW w:w="8363" w:type="dxa"/>
          </w:tcPr>
          <w:p w:rsidR="00281C38" w:rsidRDefault="00281C38" w:rsidP="00355A80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281C38" w:rsidRDefault="00D04987" w:rsidP="00355A80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Mulige forklaringer på, at færre unge mænd tager en videregående uddannelse</w:t>
            </w:r>
            <w:r w:rsidR="0089597F">
              <w:rPr>
                <w:sz w:val="24"/>
                <w:szCs w:val="24"/>
              </w:rPr>
              <w:t xml:space="preserve"> </w:t>
            </w:r>
          </w:p>
          <w:p w:rsidR="00D04987" w:rsidRPr="00281C38" w:rsidRDefault="00D04987" w:rsidP="00355A80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281C38" w:rsidTr="004756FA">
        <w:trPr>
          <w:cnfStyle w:val="000000100000"/>
        </w:trPr>
        <w:tc>
          <w:tcPr>
            <w:cnfStyle w:val="001000000000"/>
            <w:tcW w:w="8363" w:type="dxa"/>
          </w:tcPr>
          <w:p w:rsidR="00281C38" w:rsidRDefault="00281C38" w:rsidP="00355A80">
            <w:pPr>
              <w:pStyle w:val="Listeafsnit"/>
              <w:ind w:left="0"/>
              <w:rPr>
                <w:b w:val="0"/>
              </w:rPr>
            </w:pPr>
            <w:r>
              <w:t>Feminisering af uddannelsessystemet</w:t>
            </w:r>
          </w:p>
          <w:p w:rsidR="00B64E9B" w:rsidRDefault="00B64E9B" w:rsidP="008E5388">
            <w:pPr>
              <w:pStyle w:val="Listeafsnit"/>
              <w:ind w:left="0"/>
              <w:rPr>
                <w:b w:val="0"/>
              </w:rPr>
            </w:pPr>
            <w:r>
              <w:rPr>
                <w:b w:val="0"/>
              </w:rPr>
              <w:t>Uddannelsessystemet</w:t>
            </w:r>
            <w:r w:rsidR="008E5388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="008A66CC">
              <w:rPr>
                <w:b w:val="0"/>
              </w:rPr>
              <w:t>- og de læringsfo</w:t>
            </w:r>
            <w:r w:rsidR="008E5388">
              <w:rPr>
                <w:b w:val="0"/>
              </w:rPr>
              <w:t xml:space="preserve">rmer der benyttes her - </w:t>
            </w:r>
            <w:r>
              <w:rPr>
                <w:b w:val="0"/>
              </w:rPr>
              <w:t>er indrette</w:t>
            </w:r>
            <w:r w:rsidR="008E5388">
              <w:rPr>
                <w:b w:val="0"/>
              </w:rPr>
              <w:t xml:space="preserve">t </w:t>
            </w:r>
            <w:r>
              <w:rPr>
                <w:b w:val="0"/>
              </w:rPr>
              <w:t>så det i højere grad tilgodeser pigernes måde at tænke og lære på end drengenes. Det betyder</w:t>
            </w:r>
            <w:r w:rsidR="008E5388">
              <w:rPr>
                <w:b w:val="0"/>
              </w:rPr>
              <w:t>, at de</w:t>
            </w:r>
            <w:r w:rsidR="009E02DC">
              <w:rPr>
                <w:b w:val="0"/>
              </w:rPr>
              <w:t>t</w:t>
            </w:r>
            <w:r w:rsidR="008E5388">
              <w:rPr>
                <w:b w:val="0"/>
              </w:rPr>
              <w:t xml:space="preserve"> er sværere for dre</w:t>
            </w:r>
            <w:r w:rsidR="00FD217B">
              <w:rPr>
                <w:b w:val="0"/>
              </w:rPr>
              <w:t xml:space="preserve">nge at få succes og opretholde </w:t>
            </w:r>
            <w:r w:rsidR="008E5388">
              <w:rPr>
                <w:b w:val="0"/>
              </w:rPr>
              <w:t>motivation.</w:t>
            </w:r>
          </w:p>
          <w:p w:rsidR="008E5388" w:rsidRPr="00281C38" w:rsidRDefault="008E5388" w:rsidP="008E5388">
            <w:pPr>
              <w:pStyle w:val="Listeafsnit"/>
              <w:ind w:left="0"/>
              <w:rPr>
                <w:b w:val="0"/>
              </w:rPr>
            </w:pPr>
          </w:p>
        </w:tc>
      </w:tr>
      <w:tr w:rsidR="00281C38" w:rsidTr="004756FA">
        <w:trPr>
          <w:cnfStyle w:val="000000010000"/>
        </w:trPr>
        <w:tc>
          <w:tcPr>
            <w:cnfStyle w:val="001000000000"/>
            <w:tcW w:w="8363" w:type="dxa"/>
          </w:tcPr>
          <w:p w:rsidR="00281C38" w:rsidRDefault="00B64E9B" w:rsidP="00355A80">
            <w:pPr>
              <w:pStyle w:val="Listeafsnit"/>
              <w:ind w:left="0"/>
              <w:rPr>
                <w:b w:val="0"/>
              </w:rPr>
            </w:pPr>
            <w:r>
              <w:t>Det kønsopdelte</w:t>
            </w:r>
            <w:r w:rsidR="008E5388">
              <w:t xml:space="preserve"> arbejdsmarked</w:t>
            </w:r>
          </w:p>
          <w:p w:rsidR="008E5388" w:rsidRDefault="001834A8" w:rsidP="00355A80">
            <w:pPr>
              <w:pStyle w:val="Listeafsnit"/>
              <w:ind w:left="0"/>
              <w:rPr>
                <w:b w:val="0"/>
              </w:rPr>
            </w:pPr>
            <w:r>
              <w:rPr>
                <w:b w:val="0"/>
              </w:rPr>
              <w:t>Hele 60% af danskerne arbejde</w:t>
            </w:r>
            <w:r w:rsidR="00FF418E">
              <w:rPr>
                <w:b w:val="0"/>
              </w:rPr>
              <w:t>r</w:t>
            </w:r>
            <w:r>
              <w:rPr>
                <w:b w:val="0"/>
              </w:rPr>
              <w:t xml:space="preserve"> i næsten rene kvinde eller mandefag. Og t</w:t>
            </w:r>
            <w:r w:rsidR="008A66CC">
              <w:rPr>
                <w:b w:val="0"/>
              </w:rPr>
              <w:t>rods øget uddannelse</w:t>
            </w:r>
            <w:r>
              <w:rPr>
                <w:b w:val="0"/>
              </w:rPr>
              <w:t>s</w:t>
            </w:r>
            <w:r w:rsidR="008A66CC">
              <w:rPr>
                <w:b w:val="0"/>
              </w:rPr>
              <w:t xml:space="preserve">frekvens hos kvinderne, tjener mænd forsat mere end kvinder – både i kommuner, i staten og i den private sektor. </w:t>
            </w:r>
            <w:r w:rsidR="00517819">
              <w:rPr>
                <w:b w:val="0"/>
              </w:rPr>
              <w:t xml:space="preserve">Der er således andre faktorer end uddannelse, der betinger succes og indtjening </w:t>
            </w:r>
            <w:r>
              <w:rPr>
                <w:b w:val="0"/>
              </w:rPr>
              <w:t>på arbejdsmarkedet.</w:t>
            </w:r>
          </w:p>
          <w:p w:rsidR="001834A8" w:rsidRPr="008E5388" w:rsidRDefault="001834A8" w:rsidP="00355A80">
            <w:pPr>
              <w:pStyle w:val="Listeafsnit"/>
              <w:ind w:left="0"/>
              <w:rPr>
                <w:b w:val="0"/>
              </w:rPr>
            </w:pPr>
          </w:p>
        </w:tc>
      </w:tr>
      <w:tr w:rsidR="00281C38" w:rsidTr="004756FA">
        <w:trPr>
          <w:cnfStyle w:val="000000100000"/>
        </w:trPr>
        <w:tc>
          <w:tcPr>
            <w:cnfStyle w:val="001000000000"/>
            <w:tcW w:w="8363" w:type="dxa"/>
          </w:tcPr>
          <w:p w:rsidR="00281C38" w:rsidRDefault="0023246B" w:rsidP="00355A80">
            <w:pPr>
              <w:pStyle w:val="Listeafsnit"/>
              <w:ind w:left="0"/>
              <w:rPr>
                <w:b w:val="0"/>
              </w:rPr>
            </w:pPr>
            <w:r>
              <w:t>Forskelle i sociale positioneringsmuligheder</w:t>
            </w:r>
          </w:p>
          <w:p w:rsidR="00796262" w:rsidRDefault="00FF418E" w:rsidP="00355A80">
            <w:pPr>
              <w:pStyle w:val="Listeafsnit"/>
              <w:ind w:left="0"/>
              <w:rPr>
                <w:b w:val="0"/>
              </w:rPr>
            </w:pPr>
            <w:r>
              <w:rPr>
                <w:b w:val="0"/>
              </w:rPr>
              <w:t xml:space="preserve">Der er forskel på hvilke </w:t>
            </w:r>
            <w:r w:rsidR="007741BD">
              <w:rPr>
                <w:b w:val="0"/>
              </w:rPr>
              <w:t>subjekt</w:t>
            </w:r>
            <w:r w:rsidR="00E82C7C">
              <w:rPr>
                <w:b w:val="0"/>
              </w:rPr>
              <w:t>positioner</w:t>
            </w:r>
            <w:r w:rsidR="00FD217B">
              <w:rPr>
                <w:b w:val="0"/>
              </w:rPr>
              <w:t xml:space="preserve">, </w:t>
            </w:r>
            <w:r w:rsidR="00E82C7C">
              <w:rPr>
                <w:b w:val="0"/>
              </w:rPr>
              <w:t xml:space="preserve">der er til rådighed for hhv. unge </w:t>
            </w:r>
            <w:r w:rsidR="00FD217B">
              <w:rPr>
                <w:b w:val="0"/>
              </w:rPr>
              <w:t>mænd og unge kvinder – både i ungdomskulturen og</w:t>
            </w:r>
            <w:r w:rsidR="00796262">
              <w:rPr>
                <w:b w:val="0"/>
              </w:rPr>
              <w:t xml:space="preserve"> i skolekulturen</w:t>
            </w:r>
            <w:r w:rsidR="00FD217B">
              <w:rPr>
                <w:b w:val="0"/>
              </w:rPr>
              <w:t>. Unge kvinder forventes</w:t>
            </w:r>
            <w:r w:rsidR="00796262">
              <w:rPr>
                <w:b w:val="0"/>
              </w:rPr>
              <w:t xml:space="preserve"> fx. </w:t>
            </w:r>
            <w:r w:rsidR="00FD217B">
              <w:rPr>
                <w:b w:val="0"/>
              </w:rPr>
              <w:t xml:space="preserve"> at være ”flittige” og ”velforberedte”, mens unge mænd forventes at være ”entreprenante” og ”cool”</w:t>
            </w:r>
            <w:r w:rsidR="009E02DC">
              <w:rPr>
                <w:b w:val="0"/>
              </w:rPr>
              <w:t>.</w:t>
            </w:r>
          </w:p>
          <w:p w:rsidR="0023246B" w:rsidRPr="0023246B" w:rsidRDefault="00FD217B" w:rsidP="00355A80">
            <w:pPr>
              <w:pStyle w:val="Listeafsnit"/>
              <w:ind w:left="0"/>
              <w:rPr>
                <w:b w:val="0"/>
              </w:rPr>
            </w:pPr>
            <w:r>
              <w:rPr>
                <w:b w:val="0"/>
              </w:rPr>
              <w:t xml:space="preserve">   </w:t>
            </w:r>
          </w:p>
        </w:tc>
      </w:tr>
      <w:tr w:rsidR="0023246B" w:rsidTr="004756FA">
        <w:trPr>
          <w:cnfStyle w:val="000000010000"/>
        </w:trPr>
        <w:tc>
          <w:tcPr>
            <w:cnfStyle w:val="001000000000"/>
            <w:tcW w:w="8363" w:type="dxa"/>
          </w:tcPr>
          <w:p w:rsidR="0023246B" w:rsidRDefault="00796262" w:rsidP="00355A80">
            <w:pPr>
              <w:pStyle w:val="Listeafsnit"/>
              <w:ind w:left="0"/>
            </w:pPr>
            <w:r>
              <w:t>Biologiske forskelle</w:t>
            </w:r>
          </w:p>
          <w:p w:rsidR="00796262" w:rsidRDefault="00796262" w:rsidP="00355A80">
            <w:pPr>
              <w:pStyle w:val="Listeafsnit"/>
              <w:ind w:left="0"/>
              <w:rPr>
                <w:b w:val="0"/>
              </w:rPr>
            </w:pPr>
            <w:r>
              <w:rPr>
                <w:b w:val="0"/>
              </w:rPr>
              <w:t>Der er forskel på den biologiske udvikling</w:t>
            </w:r>
            <w:r w:rsidR="009E02DC">
              <w:rPr>
                <w:b w:val="0"/>
              </w:rPr>
              <w:t xml:space="preserve">, som unge mænd og unge kvinder gennemløber i årene efter gymnasiet. Unge kvinder modnes hurtigere og bliver hurtigere i stand til at lave langsigtet livsplanlægning og tage rationelle valg. Derfor har de seneste års reformer af optagelsessystemet </w:t>
            </w:r>
            <w:r w:rsidR="004756FA">
              <w:rPr>
                <w:b w:val="0"/>
              </w:rPr>
              <w:t>(fx bonus A og bonus hurtig i gang) i højere grad tilgodeset de unge kvinder</w:t>
            </w:r>
            <w:r w:rsidR="00D31616">
              <w:rPr>
                <w:b w:val="0"/>
              </w:rPr>
              <w:t xml:space="preserve"> end de unge mænd.</w:t>
            </w:r>
          </w:p>
          <w:p w:rsidR="009E02DC" w:rsidRPr="00796262" w:rsidRDefault="009E02DC" w:rsidP="00355A80">
            <w:pPr>
              <w:pStyle w:val="Listeafsnit"/>
              <w:ind w:left="0"/>
              <w:rPr>
                <w:b w:val="0"/>
              </w:rPr>
            </w:pPr>
          </w:p>
        </w:tc>
      </w:tr>
    </w:tbl>
    <w:p w:rsidR="00AC5E53" w:rsidRPr="00AC5E53" w:rsidRDefault="00AC5E53" w:rsidP="00C61D40">
      <w:pPr>
        <w:pStyle w:val="Listeafsnit"/>
        <w:rPr>
          <w:b/>
        </w:rPr>
      </w:pPr>
    </w:p>
    <w:p w:rsidR="00AC5E53" w:rsidRDefault="00AC5E53" w:rsidP="00B149E2">
      <w:pPr>
        <w:pStyle w:val="Listeafsnit"/>
        <w:numPr>
          <w:ilvl w:val="0"/>
          <w:numId w:val="2"/>
        </w:numPr>
        <w:spacing w:after="0"/>
        <w:rPr>
          <w:b/>
        </w:rPr>
      </w:pPr>
      <w:r w:rsidRPr="00AC5E53">
        <w:rPr>
          <w:b/>
        </w:rPr>
        <w:t>Out</w:t>
      </w:r>
      <w:r w:rsidR="00D31616">
        <w:rPr>
          <w:b/>
        </w:rPr>
        <w:t>put</w:t>
      </w:r>
      <w:r w:rsidRPr="00AC5E53">
        <w:rPr>
          <w:b/>
        </w:rPr>
        <w:t xml:space="preserve"> og formid</w:t>
      </w:r>
      <w:r>
        <w:rPr>
          <w:b/>
        </w:rPr>
        <w:t>ling</w:t>
      </w:r>
    </w:p>
    <w:p w:rsidR="00D31616" w:rsidRDefault="00AC5E53" w:rsidP="004756FA">
      <w:pPr>
        <w:spacing w:line="240" w:lineRule="auto"/>
        <w:ind w:left="360" w:right="850"/>
        <w:rPr>
          <w:rFonts w:ascii="Calibri" w:hAnsi="Calibri" w:cs="Calibri"/>
        </w:rPr>
      </w:pPr>
      <w:r w:rsidRPr="004756FA">
        <w:rPr>
          <w:rFonts w:ascii="Calibri" w:hAnsi="Calibri" w:cs="Calibri"/>
        </w:rPr>
        <w:t>Undersøgelsens resu</w:t>
      </w:r>
      <w:r w:rsidR="0027657F">
        <w:rPr>
          <w:rFonts w:ascii="Calibri" w:hAnsi="Calibri" w:cs="Calibri"/>
        </w:rPr>
        <w:t>ltater formidles i en kort rapport</w:t>
      </w:r>
      <w:r w:rsidRPr="004756FA">
        <w:rPr>
          <w:rFonts w:ascii="Calibri" w:hAnsi="Calibri" w:cs="Calibri"/>
        </w:rPr>
        <w:t xml:space="preserve"> ligesom der 1. marts 2011 gives en kort status på undersøgelsens første resultater. </w:t>
      </w:r>
    </w:p>
    <w:p w:rsidR="00AC5E53" w:rsidRPr="00752481" w:rsidRDefault="00AC5E53" w:rsidP="00D31616">
      <w:pPr>
        <w:spacing w:line="240" w:lineRule="auto"/>
        <w:ind w:left="360" w:right="850"/>
        <w:rPr>
          <w:rFonts w:ascii="Calibri" w:hAnsi="Calibri" w:cs="Calibri"/>
        </w:rPr>
      </w:pPr>
      <w:r w:rsidRPr="004756FA">
        <w:rPr>
          <w:rFonts w:ascii="Calibri" w:hAnsi="Calibri" w:cs="Calibri"/>
        </w:rPr>
        <w:t>I forbindelse med uda</w:t>
      </w:r>
      <w:r w:rsidRPr="00752481">
        <w:rPr>
          <w:rFonts w:ascii="Calibri" w:hAnsi="Calibri" w:cs="Calibri"/>
        </w:rPr>
        <w:t xml:space="preserve">rbejdelsen af </w:t>
      </w:r>
      <w:r w:rsidR="0089597F" w:rsidRPr="00752481">
        <w:rPr>
          <w:rFonts w:ascii="Calibri" w:hAnsi="Calibri" w:cs="Calibri"/>
        </w:rPr>
        <w:t>rapporten</w:t>
      </w:r>
      <w:r w:rsidRPr="00752481">
        <w:rPr>
          <w:rFonts w:ascii="Calibri" w:hAnsi="Calibri" w:cs="Calibri"/>
        </w:rPr>
        <w:t xml:space="preserve"> vil de producerede analyser og resultater blive formidlet i en tilgængelig form, som muliggør en bred anvendelse og målgruppe. </w:t>
      </w:r>
      <w:r w:rsidR="0089597F" w:rsidRPr="00752481">
        <w:rPr>
          <w:rFonts w:ascii="Calibri" w:hAnsi="Calibri" w:cs="Calibri"/>
        </w:rPr>
        <w:t xml:space="preserve">Der vil blive afholdt seminar for de involverede i forbindelse med afslutning af projektets del II i september 11. </w:t>
      </w:r>
    </w:p>
    <w:p w:rsidR="00AC5E53" w:rsidRDefault="00AC5E53" w:rsidP="00AC5E53">
      <w:pPr>
        <w:pStyle w:val="Listeafsnit"/>
        <w:spacing w:after="0"/>
        <w:rPr>
          <w:b/>
        </w:rPr>
      </w:pPr>
    </w:p>
    <w:p w:rsidR="009F000A" w:rsidRDefault="009F000A" w:rsidP="00AC5E53">
      <w:pPr>
        <w:pStyle w:val="Listeafsnit"/>
        <w:spacing w:after="0"/>
        <w:rPr>
          <w:b/>
        </w:rPr>
      </w:pPr>
    </w:p>
    <w:p w:rsidR="009F000A" w:rsidRDefault="009F000A" w:rsidP="00AC5E53">
      <w:pPr>
        <w:pStyle w:val="Listeafsnit"/>
        <w:spacing w:after="0"/>
        <w:rPr>
          <w:b/>
        </w:rPr>
      </w:pPr>
    </w:p>
    <w:p w:rsidR="009F000A" w:rsidRDefault="009F000A" w:rsidP="00AC5E53">
      <w:pPr>
        <w:pStyle w:val="Listeafsnit"/>
        <w:spacing w:after="0"/>
        <w:rPr>
          <w:b/>
        </w:rPr>
      </w:pPr>
    </w:p>
    <w:p w:rsidR="009F000A" w:rsidRDefault="009F000A" w:rsidP="00AC5E53">
      <w:pPr>
        <w:pStyle w:val="Listeafsnit"/>
        <w:spacing w:after="0"/>
        <w:rPr>
          <w:b/>
        </w:rPr>
      </w:pPr>
    </w:p>
    <w:p w:rsidR="009F000A" w:rsidRPr="00AC5E53" w:rsidRDefault="009F000A" w:rsidP="00AC5E53">
      <w:pPr>
        <w:pStyle w:val="Listeafsnit"/>
        <w:spacing w:after="0"/>
        <w:rPr>
          <w:b/>
        </w:rPr>
      </w:pPr>
    </w:p>
    <w:p w:rsidR="00B149E2" w:rsidRPr="00AC5E53" w:rsidRDefault="00E63B37" w:rsidP="00B149E2">
      <w:pPr>
        <w:pStyle w:val="Listeafsnit"/>
        <w:numPr>
          <w:ilvl w:val="0"/>
          <w:numId w:val="2"/>
        </w:numPr>
        <w:spacing w:after="0"/>
        <w:rPr>
          <w:b/>
        </w:rPr>
      </w:pPr>
      <w:r w:rsidRPr="00AC5E53">
        <w:rPr>
          <w:b/>
        </w:rPr>
        <w:t>Projektplan</w:t>
      </w:r>
    </w:p>
    <w:p w:rsidR="00E63B37" w:rsidRDefault="00E63B37" w:rsidP="00E63B37">
      <w:pPr>
        <w:pStyle w:val="Listeafsnit"/>
        <w:spacing w:line="240" w:lineRule="auto"/>
        <w:ind w:right="850"/>
        <w:rPr>
          <w:rFonts w:ascii="Calibri" w:hAnsi="Calibri" w:cs="Calibri"/>
        </w:rPr>
      </w:pPr>
      <w:r>
        <w:rPr>
          <w:rFonts w:ascii="Calibri" w:hAnsi="Calibri" w:cs="Calibri"/>
        </w:rPr>
        <w:t>Projektet gennemføres i perioden fra 1. februar til 31. august 2011.02.09</w:t>
      </w:r>
    </w:p>
    <w:p w:rsidR="00DB1D1A" w:rsidRDefault="00DB1D1A" w:rsidP="00E63B37">
      <w:pPr>
        <w:pStyle w:val="Listeafsnit"/>
        <w:spacing w:line="240" w:lineRule="auto"/>
        <w:ind w:right="850"/>
        <w:rPr>
          <w:rFonts w:ascii="Calibri" w:hAnsi="Calibri" w:cs="Calibri"/>
        </w:rPr>
      </w:pPr>
    </w:p>
    <w:p w:rsidR="00E63B37" w:rsidRDefault="00E63B37" w:rsidP="00E63B37">
      <w:pPr>
        <w:pStyle w:val="Listeafsnit"/>
        <w:spacing w:line="240" w:lineRule="auto"/>
        <w:ind w:right="850"/>
        <w:rPr>
          <w:rFonts w:ascii="Calibri" w:hAnsi="Calibri" w:cs="Calibri"/>
        </w:rPr>
      </w:pPr>
    </w:p>
    <w:p w:rsidR="00FF55DF" w:rsidRDefault="00FF55DF" w:rsidP="00E63B37">
      <w:pPr>
        <w:pStyle w:val="Listeafsnit"/>
        <w:spacing w:line="240" w:lineRule="auto"/>
        <w:ind w:right="850"/>
        <w:rPr>
          <w:rFonts w:ascii="Calibri" w:hAnsi="Calibri" w:cs="Calibri"/>
        </w:rPr>
      </w:pPr>
    </w:p>
    <w:tbl>
      <w:tblPr>
        <w:tblStyle w:val="Mediumskygge11"/>
        <w:tblW w:w="0" w:type="auto"/>
        <w:tblInd w:w="561" w:type="dxa"/>
        <w:tblLook w:val="04A0"/>
      </w:tblPr>
      <w:tblGrid>
        <w:gridCol w:w="5387"/>
        <w:gridCol w:w="2184"/>
      </w:tblGrid>
      <w:tr w:rsidR="00E63B37" w:rsidTr="00DB1D1A">
        <w:trPr>
          <w:cnfStyle w:val="100000000000"/>
        </w:trPr>
        <w:tc>
          <w:tcPr>
            <w:cnfStyle w:val="001000000000"/>
            <w:tcW w:w="5387" w:type="dxa"/>
          </w:tcPr>
          <w:p w:rsidR="00E63B37" w:rsidRPr="00E63B37" w:rsidRDefault="00E63B37" w:rsidP="00E63B37">
            <w:pPr>
              <w:pStyle w:val="Listeafsnit"/>
              <w:ind w:left="0" w:right="850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Udvalgte milepæle </w:t>
            </w:r>
          </w:p>
        </w:tc>
        <w:tc>
          <w:tcPr>
            <w:tcW w:w="2184" w:type="dxa"/>
          </w:tcPr>
          <w:p w:rsidR="00E63B37" w:rsidRPr="00E63B37" w:rsidRDefault="00E63B37" w:rsidP="00E63B37">
            <w:pPr>
              <w:pStyle w:val="Listeafsnit"/>
              <w:ind w:left="0" w:right="850"/>
              <w:cnfStyle w:val="100000000000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Tidsramme</w:t>
            </w:r>
          </w:p>
        </w:tc>
      </w:tr>
      <w:tr w:rsidR="00E63B37" w:rsidTr="00DB1D1A">
        <w:trPr>
          <w:cnfStyle w:val="000000100000"/>
        </w:trPr>
        <w:tc>
          <w:tcPr>
            <w:cnfStyle w:val="001000000000"/>
            <w:tcW w:w="5387" w:type="dxa"/>
          </w:tcPr>
          <w:p w:rsidR="00E63B37" w:rsidRDefault="00E63B37" w:rsidP="00E63B37">
            <w:pPr>
              <w:pStyle w:val="Listeafsnit"/>
              <w:ind w:left="0" w:right="85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Opstart af projekt</w:t>
            </w:r>
          </w:p>
        </w:tc>
        <w:tc>
          <w:tcPr>
            <w:tcW w:w="2184" w:type="dxa"/>
          </w:tcPr>
          <w:p w:rsidR="00E63B37" w:rsidRDefault="00E63B37" w:rsidP="00E63B37">
            <w:pPr>
              <w:pStyle w:val="Listeafsnit"/>
              <w:ind w:left="0" w:right="850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1.01.11</w:t>
            </w:r>
          </w:p>
        </w:tc>
      </w:tr>
      <w:tr w:rsidR="00E63B37" w:rsidTr="00DB1D1A">
        <w:trPr>
          <w:cnfStyle w:val="000000010000"/>
        </w:trPr>
        <w:tc>
          <w:tcPr>
            <w:cnfStyle w:val="001000000000"/>
            <w:tcW w:w="5387" w:type="dxa"/>
          </w:tcPr>
          <w:p w:rsidR="00E63B37" w:rsidRDefault="00E63B37" w:rsidP="00E63B37">
            <w:pPr>
              <w:pStyle w:val="Listeafsnit"/>
              <w:ind w:left="0" w:right="85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Indsamling af analyse af registerdata</w:t>
            </w:r>
          </w:p>
        </w:tc>
        <w:tc>
          <w:tcPr>
            <w:tcW w:w="2184" w:type="dxa"/>
          </w:tcPr>
          <w:p w:rsidR="00E63B37" w:rsidRDefault="00E63B37" w:rsidP="00E63B37">
            <w:pPr>
              <w:pStyle w:val="Listeafsnit"/>
              <w:ind w:left="0" w:right="850"/>
              <w:cnfStyle w:val="00000001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1.02.11</w:t>
            </w:r>
          </w:p>
        </w:tc>
      </w:tr>
      <w:tr w:rsidR="00E63B37" w:rsidTr="00DB1D1A">
        <w:trPr>
          <w:cnfStyle w:val="000000100000"/>
        </w:trPr>
        <w:tc>
          <w:tcPr>
            <w:cnfStyle w:val="001000000000"/>
            <w:tcW w:w="5387" w:type="dxa"/>
          </w:tcPr>
          <w:p w:rsidR="00E63B37" w:rsidRDefault="00E63B37" w:rsidP="00E63B37">
            <w:pPr>
              <w:pStyle w:val="Listeafsnit"/>
              <w:ind w:left="0" w:right="85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Første status på indsamlede data</w:t>
            </w:r>
          </w:p>
        </w:tc>
        <w:tc>
          <w:tcPr>
            <w:tcW w:w="2184" w:type="dxa"/>
          </w:tcPr>
          <w:p w:rsidR="00E63B37" w:rsidRDefault="00E63B37" w:rsidP="00E63B37">
            <w:pPr>
              <w:pStyle w:val="Listeafsnit"/>
              <w:ind w:left="0" w:right="850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1.03.11</w:t>
            </w:r>
          </w:p>
        </w:tc>
      </w:tr>
      <w:tr w:rsidR="00E63B37" w:rsidTr="00DB1D1A">
        <w:trPr>
          <w:cnfStyle w:val="000000010000"/>
        </w:trPr>
        <w:tc>
          <w:tcPr>
            <w:cnfStyle w:val="001000000000"/>
            <w:tcW w:w="5387" w:type="dxa"/>
          </w:tcPr>
          <w:p w:rsidR="00E63B37" w:rsidRDefault="00A96D83" w:rsidP="00E63B37">
            <w:pPr>
              <w:pStyle w:val="Listeafsnit"/>
              <w:ind w:left="0" w:right="850"/>
              <w:rPr>
                <w:rFonts w:ascii="Calibri" w:hAnsi="Calibri" w:cs="Calibri"/>
              </w:rPr>
            </w:pPr>
            <w:r w:rsidRPr="00DB1D1A">
              <w:rPr>
                <w:rFonts w:ascii="Calibri" w:hAnsi="Calibri" w:cs="Calibri"/>
                <w:i/>
              </w:rPr>
              <w:t>Mapping</w:t>
            </w:r>
            <w:r>
              <w:rPr>
                <w:rFonts w:ascii="Calibri" w:hAnsi="Calibri" w:cs="Calibri"/>
              </w:rPr>
              <w:t xml:space="preserve"> af tidligere forskning, u</w:t>
            </w:r>
            <w:r w:rsidR="00AF0E3E">
              <w:rPr>
                <w:rFonts w:ascii="Calibri" w:hAnsi="Calibri" w:cs="Calibri"/>
              </w:rPr>
              <w:t xml:space="preserve">darbejdelse af interviewguide </w:t>
            </w:r>
          </w:p>
        </w:tc>
        <w:tc>
          <w:tcPr>
            <w:tcW w:w="2184" w:type="dxa"/>
          </w:tcPr>
          <w:p w:rsidR="00E63B37" w:rsidRDefault="00FF55DF" w:rsidP="00E63B37">
            <w:pPr>
              <w:pStyle w:val="Listeafsnit"/>
              <w:ind w:left="0" w:right="850"/>
              <w:cnfStyle w:val="00000001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01.03</w:t>
            </w:r>
            <w:r w:rsidR="00AF0E3E">
              <w:rPr>
                <w:rFonts w:ascii="Calibri" w:hAnsi="Calibri" w:cs="Calibri"/>
              </w:rPr>
              <w:t>.11</w:t>
            </w:r>
          </w:p>
        </w:tc>
      </w:tr>
      <w:tr w:rsidR="00E63B37" w:rsidTr="00DB1D1A">
        <w:trPr>
          <w:cnfStyle w:val="000000100000"/>
        </w:trPr>
        <w:tc>
          <w:tcPr>
            <w:cnfStyle w:val="001000000000"/>
            <w:tcW w:w="5387" w:type="dxa"/>
          </w:tcPr>
          <w:p w:rsidR="00E63B37" w:rsidRDefault="00E63B37" w:rsidP="00E63B37">
            <w:pPr>
              <w:pStyle w:val="Listeafsnit"/>
              <w:ind w:left="0" w:right="85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Planlægning og gennemførelse af fokusgruppeinterview</w:t>
            </w:r>
          </w:p>
        </w:tc>
        <w:tc>
          <w:tcPr>
            <w:tcW w:w="2184" w:type="dxa"/>
          </w:tcPr>
          <w:p w:rsidR="00E63B37" w:rsidRDefault="00E63B37" w:rsidP="00E63B37">
            <w:pPr>
              <w:pStyle w:val="Listeafsnit"/>
              <w:ind w:left="0" w:right="850"/>
              <w:cnfStyle w:val="000000100000"/>
              <w:rPr>
                <w:rFonts w:ascii="Calibri" w:hAnsi="Calibri" w:cs="Calibri"/>
              </w:rPr>
            </w:pPr>
          </w:p>
          <w:p w:rsidR="00E63B37" w:rsidRDefault="00E63B37" w:rsidP="00E63B37">
            <w:pPr>
              <w:pStyle w:val="Listeafsnit"/>
              <w:ind w:left="0" w:right="850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03-05.11</w:t>
            </w:r>
          </w:p>
        </w:tc>
      </w:tr>
      <w:tr w:rsidR="00E63B37" w:rsidTr="00DB1D1A">
        <w:trPr>
          <w:cnfStyle w:val="000000010000"/>
        </w:trPr>
        <w:tc>
          <w:tcPr>
            <w:cnfStyle w:val="001000000000"/>
            <w:tcW w:w="5387" w:type="dxa"/>
          </w:tcPr>
          <w:p w:rsidR="00E63B37" w:rsidRDefault="00E63B37" w:rsidP="00E63B37">
            <w:pPr>
              <w:pStyle w:val="Listeafsnit"/>
              <w:ind w:left="0" w:right="85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Følgegruppemøde</w:t>
            </w:r>
            <w:r w:rsidR="00AF0E3E">
              <w:rPr>
                <w:rFonts w:ascii="Calibri" w:hAnsi="Calibri" w:cs="Calibri"/>
              </w:rPr>
              <w:t>, præsentation af foreløbig analyse</w:t>
            </w:r>
          </w:p>
        </w:tc>
        <w:tc>
          <w:tcPr>
            <w:tcW w:w="2184" w:type="dxa"/>
          </w:tcPr>
          <w:p w:rsidR="00AF0E3E" w:rsidRPr="00752481" w:rsidRDefault="00AF0E3E" w:rsidP="00E63B37">
            <w:pPr>
              <w:pStyle w:val="Listeafsnit"/>
              <w:ind w:left="0" w:right="850"/>
              <w:cnfStyle w:val="000000010000"/>
              <w:rPr>
                <w:rFonts w:ascii="Calibri" w:hAnsi="Calibri" w:cs="Calibri"/>
              </w:rPr>
            </w:pPr>
          </w:p>
          <w:p w:rsidR="00AF0E3E" w:rsidRDefault="0089597F" w:rsidP="00E63B37">
            <w:pPr>
              <w:pStyle w:val="Listeafsnit"/>
              <w:ind w:left="0" w:right="850"/>
              <w:cnfStyle w:val="000000010000"/>
              <w:rPr>
                <w:rFonts w:ascii="Calibri" w:hAnsi="Calibri" w:cs="Calibri"/>
              </w:rPr>
            </w:pPr>
            <w:r w:rsidRPr="00752481">
              <w:rPr>
                <w:rFonts w:ascii="Calibri" w:hAnsi="Calibri" w:cs="Calibri"/>
              </w:rPr>
              <w:t>Første del af juni 11</w:t>
            </w:r>
          </w:p>
        </w:tc>
      </w:tr>
      <w:tr w:rsidR="00E63B37" w:rsidTr="00DB1D1A">
        <w:trPr>
          <w:cnfStyle w:val="000000100000"/>
        </w:trPr>
        <w:tc>
          <w:tcPr>
            <w:cnfStyle w:val="001000000000"/>
            <w:tcW w:w="5387" w:type="dxa"/>
          </w:tcPr>
          <w:p w:rsidR="00E63B37" w:rsidRDefault="00AF0E3E" w:rsidP="00E63B37">
            <w:pPr>
              <w:pStyle w:val="Listeafsnit"/>
              <w:ind w:left="0" w:right="85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Udarbejdelse af </w:t>
            </w:r>
            <w:r w:rsidR="009D5235">
              <w:rPr>
                <w:rFonts w:ascii="Calibri" w:hAnsi="Calibri" w:cs="Calibri"/>
              </w:rPr>
              <w:t>rapport</w:t>
            </w:r>
          </w:p>
        </w:tc>
        <w:tc>
          <w:tcPr>
            <w:tcW w:w="2184" w:type="dxa"/>
          </w:tcPr>
          <w:p w:rsidR="00E63B37" w:rsidRDefault="00AF0E3E" w:rsidP="00E63B37">
            <w:pPr>
              <w:pStyle w:val="Listeafsnit"/>
              <w:ind w:left="0" w:right="850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06-08.11</w:t>
            </w:r>
          </w:p>
        </w:tc>
      </w:tr>
      <w:tr w:rsidR="00E63B37" w:rsidTr="00DB1D1A">
        <w:trPr>
          <w:cnfStyle w:val="000000010000"/>
        </w:trPr>
        <w:tc>
          <w:tcPr>
            <w:cnfStyle w:val="001000000000"/>
            <w:tcW w:w="5387" w:type="dxa"/>
          </w:tcPr>
          <w:p w:rsidR="00E63B37" w:rsidRDefault="00AF0E3E" w:rsidP="00E63B37">
            <w:pPr>
              <w:pStyle w:val="Listeafsnit"/>
              <w:ind w:left="0" w:right="85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Konference for case-skoler</w:t>
            </w:r>
          </w:p>
        </w:tc>
        <w:tc>
          <w:tcPr>
            <w:tcW w:w="2184" w:type="dxa"/>
          </w:tcPr>
          <w:p w:rsidR="00E63B37" w:rsidRDefault="00AF0E3E" w:rsidP="00E63B37">
            <w:pPr>
              <w:pStyle w:val="Listeafsnit"/>
              <w:ind w:left="0" w:right="850"/>
              <w:cnfStyle w:val="00000001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1.09.11</w:t>
            </w:r>
          </w:p>
        </w:tc>
      </w:tr>
    </w:tbl>
    <w:p w:rsidR="00E63B37" w:rsidRPr="00E63B37" w:rsidRDefault="00E63B37" w:rsidP="00AF0E3E">
      <w:pPr>
        <w:pStyle w:val="Listeafsnit"/>
        <w:spacing w:line="240" w:lineRule="auto"/>
        <w:ind w:right="850"/>
        <w:rPr>
          <w:color w:val="000000"/>
        </w:rPr>
      </w:pPr>
    </w:p>
    <w:p w:rsidR="00B149E2" w:rsidRPr="00AF0E3E" w:rsidRDefault="00B149E2" w:rsidP="00AF0E3E">
      <w:pPr>
        <w:spacing w:after="0"/>
        <w:rPr>
          <w:b/>
        </w:rPr>
      </w:pPr>
    </w:p>
    <w:p w:rsidR="00B149E2" w:rsidRPr="00AF0E3E" w:rsidRDefault="00B149E2" w:rsidP="00B149E2">
      <w:pPr>
        <w:pStyle w:val="Listeafsnit"/>
        <w:numPr>
          <w:ilvl w:val="0"/>
          <w:numId w:val="2"/>
        </w:numPr>
        <w:spacing w:after="0"/>
        <w:rPr>
          <w:b/>
        </w:rPr>
      </w:pPr>
      <w:r w:rsidRPr="00AF0E3E">
        <w:rPr>
          <w:b/>
        </w:rPr>
        <w:t>Organisering</w:t>
      </w:r>
      <w:r w:rsidR="00AF0E3E" w:rsidRPr="00AF0E3E">
        <w:rPr>
          <w:b/>
        </w:rPr>
        <w:t xml:space="preserve"> og bemanding</w:t>
      </w:r>
    </w:p>
    <w:p w:rsidR="00CF5B53" w:rsidRDefault="00AF0E3E" w:rsidP="00CF5B53">
      <w:pPr>
        <w:spacing w:after="0"/>
        <w:ind w:left="360"/>
      </w:pPr>
      <w:r>
        <w:t>Projektet gennemfør</w:t>
      </w:r>
      <w:r w:rsidR="00BE0D40">
        <w:t xml:space="preserve">es af en forskergruppe der ledes </w:t>
      </w:r>
      <w:r w:rsidR="00126A6C">
        <w:t>af centerleder og lektor Noemi Katznelson</w:t>
      </w:r>
      <w:r w:rsidR="00BE0D40">
        <w:t xml:space="preserve"> og desuden består af</w:t>
      </w:r>
      <w:r w:rsidR="00126A6C">
        <w:t xml:space="preserve"> lektor Camilla Hutters (daglig projektleder) samt videnskabelig assistent Rikke Brown.</w:t>
      </w:r>
      <w:r>
        <w:t xml:space="preserve"> </w:t>
      </w:r>
    </w:p>
    <w:p w:rsidR="00CF5B53" w:rsidRDefault="00CF5B53" w:rsidP="00CF5B53">
      <w:pPr>
        <w:spacing w:after="0"/>
        <w:ind w:left="360"/>
      </w:pPr>
    </w:p>
    <w:p w:rsidR="00126A6C" w:rsidRDefault="00126A6C" w:rsidP="00CF5B53">
      <w:pPr>
        <w:spacing w:after="0"/>
        <w:ind w:left="360"/>
      </w:pPr>
      <w:r>
        <w:t>Derudover nedsættes der en følgegruppe bestående af repræsentanter fra de deltagende organisatione</w:t>
      </w:r>
      <w:r w:rsidR="0086729A">
        <w:t xml:space="preserve">r.  Følgegruppens opgave </w:t>
      </w:r>
      <w:r w:rsidR="00BE0D40">
        <w:t xml:space="preserve">er at yde sparring til projektet samt give input til hvordan projektets resultater </w:t>
      </w:r>
      <w:r w:rsidR="00973267">
        <w:t xml:space="preserve">og anbefalinger </w:t>
      </w:r>
      <w:r w:rsidR="00BE0D40">
        <w:t>kan omsættes i de involverede organisationers arbejde.</w:t>
      </w:r>
    </w:p>
    <w:p w:rsidR="00BE0D40" w:rsidRDefault="00BE0D40" w:rsidP="00AF0E3E">
      <w:pPr>
        <w:spacing w:after="0"/>
        <w:ind w:left="720"/>
      </w:pPr>
    </w:p>
    <w:p w:rsidR="00CF5B53" w:rsidRDefault="00FF55DF" w:rsidP="0027657F">
      <w:pPr>
        <w:spacing w:after="0"/>
        <w:ind w:firstLine="360"/>
      </w:pPr>
      <w:r>
        <w:t>Forslag til følgegruppe</w:t>
      </w:r>
      <w:r w:rsidR="00BE0D40">
        <w:t>:</w:t>
      </w:r>
    </w:p>
    <w:p w:rsidR="00CF5B53" w:rsidRDefault="00CF5B53" w:rsidP="00CF5B53">
      <w:pPr>
        <w:pStyle w:val="Listeafsnit"/>
        <w:numPr>
          <w:ilvl w:val="0"/>
          <w:numId w:val="5"/>
        </w:numPr>
        <w:spacing w:after="0"/>
      </w:pPr>
      <w:r>
        <w:t>Bodil Liv Holm, fuldmægtig, Ligestillingsministeriet</w:t>
      </w:r>
    </w:p>
    <w:p w:rsidR="00590014" w:rsidRDefault="00BE0D40" w:rsidP="00BE0D40">
      <w:pPr>
        <w:pStyle w:val="Listeafsnit"/>
        <w:numPr>
          <w:ilvl w:val="0"/>
          <w:numId w:val="5"/>
        </w:numPr>
        <w:spacing w:after="0"/>
      </w:pPr>
      <w:r>
        <w:t xml:space="preserve">Ulla Erichsen, </w:t>
      </w:r>
      <w:r w:rsidR="00590014">
        <w:t>Leder af Forum 100%</w:t>
      </w:r>
    </w:p>
    <w:p w:rsidR="00A655B6" w:rsidRDefault="00973267" w:rsidP="00973267">
      <w:pPr>
        <w:pStyle w:val="Listeafsnit"/>
        <w:numPr>
          <w:ilvl w:val="0"/>
          <w:numId w:val="5"/>
        </w:numPr>
        <w:spacing w:after="0"/>
      </w:pPr>
      <w:r>
        <w:t>Kurt Trangbæk, Rektor for Roskilde gymnasium,</w:t>
      </w:r>
      <w:r w:rsidR="00590014">
        <w:t xml:space="preserve"> </w:t>
      </w:r>
      <w:r>
        <w:t xml:space="preserve">gymnasierepræsentant, </w:t>
      </w:r>
      <w:r w:rsidR="00590014">
        <w:t>Forum 100%</w:t>
      </w:r>
    </w:p>
    <w:p w:rsidR="00FF55DF" w:rsidRPr="00973267" w:rsidRDefault="00A655B6" w:rsidP="00BE0D40">
      <w:pPr>
        <w:pStyle w:val="Listeafsnit"/>
        <w:numPr>
          <w:ilvl w:val="0"/>
          <w:numId w:val="5"/>
        </w:numPr>
        <w:spacing w:after="0"/>
      </w:pPr>
      <w:r w:rsidRPr="00973267">
        <w:rPr>
          <w:bCs/>
        </w:rPr>
        <w:t xml:space="preserve">Finn Arvid Olsson, </w:t>
      </w:r>
      <w:r w:rsidR="00973267">
        <w:rPr>
          <w:bCs/>
        </w:rPr>
        <w:t>Direktør for erhvervsskolen Nordsjælland, erhvervsskolerepræsentant, Forum 100 %</w:t>
      </w:r>
    </w:p>
    <w:p w:rsidR="00752481" w:rsidRDefault="00BE0D40" w:rsidP="00752481">
      <w:pPr>
        <w:pStyle w:val="Listeafsnit"/>
        <w:numPr>
          <w:ilvl w:val="0"/>
          <w:numId w:val="5"/>
        </w:numPr>
        <w:spacing w:after="0"/>
      </w:pPr>
      <w:r>
        <w:t>Birgitte Simonsen</w:t>
      </w:r>
      <w:r w:rsidR="0027657F">
        <w:t>, bestyrelsesmedlem</w:t>
      </w:r>
      <w:r w:rsidR="00CF5B53">
        <w:t>, Forum</w:t>
      </w:r>
      <w:r w:rsidR="00A655B6">
        <w:t xml:space="preserve"> 100</w:t>
      </w:r>
      <w:r w:rsidR="00CF5B53">
        <w:t xml:space="preserve"> %</w:t>
      </w:r>
    </w:p>
    <w:p w:rsidR="0027657F" w:rsidRPr="00752481" w:rsidRDefault="00752481" w:rsidP="00752481">
      <w:pPr>
        <w:pStyle w:val="Listeafsnit"/>
        <w:numPr>
          <w:ilvl w:val="0"/>
          <w:numId w:val="5"/>
        </w:numPr>
        <w:spacing w:after="0"/>
      </w:pPr>
      <w:r>
        <w:t xml:space="preserve">Steen </w:t>
      </w:r>
      <w:proofErr w:type="spellStart"/>
      <w:r>
        <w:t>Baag</w:t>
      </w:r>
      <w:r w:rsidR="00C416E3">
        <w:t>øe</w:t>
      </w:r>
      <w:proofErr w:type="spellEnd"/>
      <w:r w:rsidR="00C416E3">
        <w:t>, lektor, Institut for Psykologi og Uddannelsesforskning, RUC.</w:t>
      </w:r>
    </w:p>
    <w:p w:rsidR="00CF5B53" w:rsidRPr="000458CF" w:rsidRDefault="00CF5B53" w:rsidP="00FF55DF">
      <w:pPr>
        <w:pStyle w:val="Listeafsnit"/>
        <w:spacing w:after="0"/>
      </w:pPr>
    </w:p>
    <w:p w:rsidR="00B149E2" w:rsidRDefault="00B149E2" w:rsidP="00B149E2">
      <w:pPr>
        <w:spacing w:after="0"/>
      </w:pPr>
    </w:p>
    <w:p w:rsidR="00B149E2" w:rsidRDefault="00B149E2" w:rsidP="00B149E2">
      <w:pPr>
        <w:spacing w:after="0"/>
        <w:contextualSpacing/>
      </w:pPr>
    </w:p>
    <w:p w:rsidR="00B149E2" w:rsidRPr="00B149E2" w:rsidRDefault="00B149E2" w:rsidP="00B149E2">
      <w:pPr>
        <w:spacing w:after="0"/>
        <w:contextualSpacing/>
      </w:pPr>
    </w:p>
    <w:p w:rsidR="001D1707" w:rsidRPr="001D1707" w:rsidRDefault="001D1707" w:rsidP="00B149E2">
      <w:pPr>
        <w:spacing w:after="0"/>
        <w:contextualSpacing/>
      </w:pPr>
    </w:p>
    <w:p w:rsidR="001D1707" w:rsidRDefault="001D1707" w:rsidP="00B149E2">
      <w:pPr>
        <w:spacing w:after="0"/>
        <w:contextualSpacing/>
      </w:pPr>
    </w:p>
    <w:p w:rsidR="001D1707" w:rsidRPr="001D1707" w:rsidRDefault="001D1707" w:rsidP="00B149E2">
      <w:pPr>
        <w:spacing w:after="0"/>
        <w:contextualSpacing/>
      </w:pPr>
    </w:p>
    <w:sectPr w:rsidR="001D1707" w:rsidRPr="001D1707" w:rsidSect="00030F1D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7BB" w:rsidRDefault="005E77BB" w:rsidP="00FD79D9">
      <w:pPr>
        <w:spacing w:after="0" w:line="240" w:lineRule="auto"/>
      </w:pPr>
      <w:r>
        <w:separator/>
      </w:r>
    </w:p>
  </w:endnote>
  <w:endnote w:type="continuationSeparator" w:id="0">
    <w:p w:rsidR="005E77BB" w:rsidRDefault="005E77BB" w:rsidP="00FD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722"/>
      <w:docPartObj>
        <w:docPartGallery w:val="Page Numbers (Bottom of Page)"/>
        <w:docPartUnique/>
      </w:docPartObj>
    </w:sdtPr>
    <w:sdtContent>
      <w:p w:rsidR="008656E8" w:rsidRDefault="001544A1">
        <w:pPr>
          <w:pStyle w:val="Sidefod"/>
          <w:jc w:val="center"/>
        </w:pPr>
        <w:fldSimple w:instr=" PAGE   \* MERGEFORMAT ">
          <w:r w:rsidR="0069183E">
            <w:rPr>
              <w:noProof/>
            </w:rPr>
            <w:t>3</w:t>
          </w:r>
        </w:fldSimple>
      </w:p>
    </w:sdtContent>
  </w:sdt>
  <w:p w:rsidR="008656E8" w:rsidRDefault="008656E8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7BB" w:rsidRDefault="005E77BB" w:rsidP="00FD79D9">
      <w:pPr>
        <w:spacing w:after="0" w:line="240" w:lineRule="auto"/>
      </w:pPr>
      <w:r>
        <w:separator/>
      </w:r>
    </w:p>
  </w:footnote>
  <w:footnote w:type="continuationSeparator" w:id="0">
    <w:p w:rsidR="005E77BB" w:rsidRDefault="005E77BB" w:rsidP="00FD79D9">
      <w:pPr>
        <w:spacing w:after="0" w:line="240" w:lineRule="auto"/>
      </w:pPr>
      <w:r>
        <w:continuationSeparator/>
      </w:r>
    </w:p>
  </w:footnote>
  <w:footnote w:id="1">
    <w:p w:rsidR="008656E8" w:rsidRDefault="008656E8">
      <w:pPr>
        <w:pStyle w:val="Fodnotetekst"/>
      </w:pPr>
      <w:r>
        <w:rPr>
          <w:rStyle w:val="Fodnotehenvisning"/>
        </w:rPr>
        <w:footnoteRef/>
      </w:r>
      <w:r>
        <w:t xml:space="preserve"> Undervisningsministeriets profilmodel 2009</w:t>
      </w:r>
    </w:p>
  </w:footnote>
  <w:footnote w:id="2">
    <w:p w:rsidR="008656E8" w:rsidRDefault="008656E8">
      <w:pPr>
        <w:pStyle w:val="Fodnotetekst"/>
      </w:pPr>
      <w:r>
        <w:rPr>
          <w:rStyle w:val="Fodnotehenvisning"/>
        </w:rPr>
        <w:footnoteRef/>
      </w:r>
      <w:r>
        <w:t xml:space="preserve"> Universitet- og Byggestyrelsen Januar 2011.</w:t>
      </w:r>
    </w:p>
  </w:footnote>
  <w:footnote w:id="3">
    <w:p w:rsidR="008656E8" w:rsidRDefault="008656E8">
      <w:pPr>
        <w:pStyle w:val="Fodnotetekst"/>
      </w:pPr>
      <w:r>
        <w:rPr>
          <w:rStyle w:val="Fodnotehenvisning"/>
        </w:rPr>
        <w:footnoteRef/>
      </w:r>
      <w:r>
        <w:t xml:space="preserve"> Forum 100% er et tværsektorielt og uafhængigt forum for ungdomsuddannelserne, der arbejder for at  skabe rammer i uddannelsessystemet, der giver alle unge mulighed for at få en ungdomsuddannelse.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4FC"/>
    <w:multiLevelType w:val="hybridMultilevel"/>
    <w:tmpl w:val="77FEB7A4"/>
    <w:lvl w:ilvl="0" w:tplc="AC7210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22019D"/>
    <w:multiLevelType w:val="hybridMultilevel"/>
    <w:tmpl w:val="89CE4C18"/>
    <w:lvl w:ilvl="0" w:tplc="AF4437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85B69"/>
    <w:multiLevelType w:val="hybridMultilevel"/>
    <w:tmpl w:val="D3CE11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030D2"/>
    <w:multiLevelType w:val="hybridMultilevel"/>
    <w:tmpl w:val="8C6C81B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46A12"/>
    <w:multiLevelType w:val="hybridMultilevel"/>
    <w:tmpl w:val="CE7E33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5B28"/>
    <w:rsid w:val="00030F1D"/>
    <w:rsid w:val="000458CF"/>
    <w:rsid w:val="000B035E"/>
    <w:rsid w:val="000B5FFF"/>
    <w:rsid w:val="000C2BC8"/>
    <w:rsid w:val="000C6C4D"/>
    <w:rsid w:val="000D44AF"/>
    <w:rsid w:val="000F6C62"/>
    <w:rsid w:val="001124ED"/>
    <w:rsid w:val="00126A6C"/>
    <w:rsid w:val="00153CB2"/>
    <w:rsid w:val="001544A1"/>
    <w:rsid w:val="00157DF7"/>
    <w:rsid w:val="001834A8"/>
    <w:rsid w:val="001862BB"/>
    <w:rsid w:val="00194B14"/>
    <w:rsid w:val="001D1707"/>
    <w:rsid w:val="0023246B"/>
    <w:rsid w:val="00233292"/>
    <w:rsid w:val="00235045"/>
    <w:rsid w:val="002507A3"/>
    <w:rsid w:val="0026381E"/>
    <w:rsid w:val="00275329"/>
    <w:rsid w:val="0027657F"/>
    <w:rsid w:val="00281C38"/>
    <w:rsid w:val="00290193"/>
    <w:rsid w:val="00292E54"/>
    <w:rsid w:val="002B6F35"/>
    <w:rsid w:val="00355A80"/>
    <w:rsid w:val="003A5766"/>
    <w:rsid w:val="003F4244"/>
    <w:rsid w:val="00401A4B"/>
    <w:rsid w:val="0046249E"/>
    <w:rsid w:val="004756FA"/>
    <w:rsid w:val="004C404D"/>
    <w:rsid w:val="004F0F0B"/>
    <w:rsid w:val="0050748B"/>
    <w:rsid w:val="00517819"/>
    <w:rsid w:val="00560CEB"/>
    <w:rsid w:val="00590014"/>
    <w:rsid w:val="00591900"/>
    <w:rsid w:val="005C21F0"/>
    <w:rsid w:val="005E77BB"/>
    <w:rsid w:val="005F2950"/>
    <w:rsid w:val="00681CB9"/>
    <w:rsid w:val="0069183E"/>
    <w:rsid w:val="006A0FF2"/>
    <w:rsid w:val="006D56B7"/>
    <w:rsid w:val="006F30AA"/>
    <w:rsid w:val="00700292"/>
    <w:rsid w:val="00712490"/>
    <w:rsid w:val="00752481"/>
    <w:rsid w:val="00765179"/>
    <w:rsid w:val="00766F93"/>
    <w:rsid w:val="007741BD"/>
    <w:rsid w:val="0077499F"/>
    <w:rsid w:val="0077670C"/>
    <w:rsid w:val="00796262"/>
    <w:rsid w:val="007B2ED8"/>
    <w:rsid w:val="007B5B28"/>
    <w:rsid w:val="00807B16"/>
    <w:rsid w:val="00825604"/>
    <w:rsid w:val="00825824"/>
    <w:rsid w:val="008406D4"/>
    <w:rsid w:val="00854534"/>
    <w:rsid w:val="008656E8"/>
    <w:rsid w:val="0086729A"/>
    <w:rsid w:val="00873D35"/>
    <w:rsid w:val="0089597F"/>
    <w:rsid w:val="008A66CC"/>
    <w:rsid w:val="008E098D"/>
    <w:rsid w:val="008E5388"/>
    <w:rsid w:val="008E7FD3"/>
    <w:rsid w:val="00906B76"/>
    <w:rsid w:val="009374EA"/>
    <w:rsid w:val="00973267"/>
    <w:rsid w:val="009B6590"/>
    <w:rsid w:val="009C2E43"/>
    <w:rsid w:val="009C471A"/>
    <w:rsid w:val="009D5235"/>
    <w:rsid w:val="009D563D"/>
    <w:rsid w:val="009D6E73"/>
    <w:rsid w:val="009E02DC"/>
    <w:rsid w:val="009F000A"/>
    <w:rsid w:val="00A14B09"/>
    <w:rsid w:val="00A41330"/>
    <w:rsid w:val="00A63AA3"/>
    <w:rsid w:val="00A655B6"/>
    <w:rsid w:val="00A96D83"/>
    <w:rsid w:val="00AC5E53"/>
    <w:rsid w:val="00AF0E3E"/>
    <w:rsid w:val="00B149E2"/>
    <w:rsid w:val="00B37FE9"/>
    <w:rsid w:val="00B64E9B"/>
    <w:rsid w:val="00B71112"/>
    <w:rsid w:val="00B8047E"/>
    <w:rsid w:val="00BC56F0"/>
    <w:rsid w:val="00BE0D40"/>
    <w:rsid w:val="00C25700"/>
    <w:rsid w:val="00C416E3"/>
    <w:rsid w:val="00C4415A"/>
    <w:rsid w:val="00C45BFA"/>
    <w:rsid w:val="00C55676"/>
    <w:rsid w:val="00C61D40"/>
    <w:rsid w:val="00CF5B53"/>
    <w:rsid w:val="00D04987"/>
    <w:rsid w:val="00D14F13"/>
    <w:rsid w:val="00D31616"/>
    <w:rsid w:val="00D75C70"/>
    <w:rsid w:val="00DA2511"/>
    <w:rsid w:val="00DB1D1A"/>
    <w:rsid w:val="00DD7185"/>
    <w:rsid w:val="00E15CC4"/>
    <w:rsid w:val="00E63B37"/>
    <w:rsid w:val="00E82C7C"/>
    <w:rsid w:val="00EB4A80"/>
    <w:rsid w:val="00EC1FA3"/>
    <w:rsid w:val="00EF3EEC"/>
    <w:rsid w:val="00F20BF5"/>
    <w:rsid w:val="00FC2690"/>
    <w:rsid w:val="00FD217B"/>
    <w:rsid w:val="00FD669A"/>
    <w:rsid w:val="00FD79D9"/>
    <w:rsid w:val="00FF418E"/>
    <w:rsid w:val="00FF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D4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1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D1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B149E2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FD79D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D79D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D79D9"/>
    <w:rPr>
      <w:vertAlign w:val="superscript"/>
    </w:rPr>
  </w:style>
  <w:style w:type="table" w:styleId="Tabel-Gitter">
    <w:name w:val="Table Grid"/>
    <w:basedOn w:val="Tabel-Normal"/>
    <w:uiPriority w:val="59"/>
    <w:rsid w:val="00E63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1">
    <w:name w:val="Lys skygge1"/>
    <w:basedOn w:val="Tabel-Normal"/>
    <w:uiPriority w:val="60"/>
    <w:rsid w:val="00E63B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1">
    <w:name w:val="Lyst gitter1"/>
    <w:basedOn w:val="Tabel-Normal"/>
    <w:uiPriority w:val="62"/>
    <w:rsid w:val="00E63B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rsid w:val="00E63B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itter1-fremhvningsfarve1">
    <w:name w:val="Medium Grid 1 Accent 1"/>
    <w:basedOn w:val="Tabel-Normal"/>
    <w:uiPriority w:val="67"/>
    <w:rsid w:val="00E63B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63B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2-fremhvningsfarve1">
    <w:name w:val="Medium Grid 2 Accent 1"/>
    <w:basedOn w:val="Tabel-Normal"/>
    <w:uiPriority w:val="68"/>
    <w:rsid w:val="00E63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skygge11">
    <w:name w:val="Medium skygge 11"/>
    <w:basedOn w:val="Tabel-Normal"/>
    <w:uiPriority w:val="63"/>
    <w:rsid w:val="00DB1D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idehoved">
    <w:name w:val="header"/>
    <w:basedOn w:val="Normal"/>
    <w:link w:val="SidehovedTegn"/>
    <w:uiPriority w:val="99"/>
    <w:semiHidden/>
    <w:unhideWhenUsed/>
    <w:rsid w:val="00AC5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C5E53"/>
  </w:style>
  <w:style w:type="paragraph" w:styleId="Sidefod">
    <w:name w:val="footer"/>
    <w:basedOn w:val="Normal"/>
    <w:link w:val="SidefodTegn"/>
    <w:uiPriority w:val="99"/>
    <w:unhideWhenUsed/>
    <w:rsid w:val="00AC5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5E53"/>
  </w:style>
  <w:style w:type="character" w:styleId="Fremhv">
    <w:name w:val="Emphasis"/>
    <w:basedOn w:val="Standardskrifttypeiafsnit"/>
    <w:uiPriority w:val="20"/>
    <w:qFormat/>
    <w:rsid w:val="00A655B6"/>
    <w:rPr>
      <w:b/>
      <w:bCs/>
      <w:i w:val="0"/>
      <w:iCs w:val="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5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1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D1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B149E2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FD79D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D79D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D79D9"/>
    <w:rPr>
      <w:vertAlign w:val="superscript"/>
    </w:rPr>
  </w:style>
  <w:style w:type="table" w:styleId="Tabel-Gitter">
    <w:name w:val="Table Grid"/>
    <w:basedOn w:val="Tabel-Normal"/>
    <w:uiPriority w:val="59"/>
    <w:rsid w:val="00E63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1">
    <w:name w:val="Lys skygge1"/>
    <w:basedOn w:val="Tabel-Normal"/>
    <w:uiPriority w:val="60"/>
    <w:rsid w:val="00E63B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1">
    <w:name w:val="Lyst gitter1"/>
    <w:basedOn w:val="Tabel-Normal"/>
    <w:uiPriority w:val="62"/>
    <w:rsid w:val="00E63B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rsid w:val="00E63B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itter1-fremhvningsfarve1">
    <w:name w:val="Medium Grid 1 Accent 1"/>
    <w:basedOn w:val="Tabel-Normal"/>
    <w:uiPriority w:val="67"/>
    <w:rsid w:val="00E63B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63B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2-fremhvningsfarve1">
    <w:name w:val="Medium Grid 2 Accent 1"/>
    <w:basedOn w:val="Tabel-Normal"/>
    <w:uiPriority w:val="68"/>
    <w:rsid w:val="00E63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skygge11">
    <w:name w:val="Medium skygge 11"/>
    <w:basedOn w:val="Tabel-Normal"/>
    <w:uiPriority w:val="63"/>
    <w:rsid w:val="00DB1D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idehoved">
    <w:name w:val="header"/>
    <w:basedOn w:val="Normal"/>
    <w:link w:val="SidehovedTegn"/>
    <w:uiPriority w:val="99"/>
    <w:semiHidden/>
    <w:unhideWhenUsed/>
    <w:rsid w:val="00AC5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C5E53"/>
  </w:style>
  <w:style w:type="paragraph" w:styleId="Sidefod">
    <w:name w:val="footer"/>
    <w:basedOn w:val="Normal"/>
    <w:link w:val="SidefodTegn"/>
    <w:uiPriority w:val="99"/>
    <w:unhideWhenUsed/>
    <w:rsid w:val="00AC5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5E53"/>
  </w:style>
  <w:style w:type="character" w:styleId="Fremhv">
    <w:name w:val="Emphasis"/>
    <w:basedOn w:val="Standardskrifttypeiafsnit"/>
    <w:uiPriority w:val="20"/>
    <w:qFormat/>
    <w:rsid w:val="00A655B6"/>
    <w:rPr>
      <w:b/>
      <w:bCs/>
      <w:i w:val="0"/>
      <w:iCs w:val="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5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C90B-6442-401A-99D9-3FBF53F5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1280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DPU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cahut</dc:creator>
  <cp:lastModifiedBy>laso</cp:lastModifiedBy>
  <cp:revision>2</cp:revision>
  <cp:lastPrinted>2011-03-14T09:46:00Z</cp:lastPrinted>
  <dcterms:created xsi:type="dcterms:W3CDTF">2011-03-31T11:54:00Z</dcterms:created>
  <dcterms:modified xsi:type="dcterms:W3CDTF">2011-03-31T11:54:00Z</dcterms:modified>
</cp:coreProperties>
</file>