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15" w:rsidRDefault="00692D15" w:rsidP="00692D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 w:rsidR="00AC2BA7">
        <w:rPr>
          <w:b/>
          <w:sz w:val="32"/>
          <w:szCs w:val="32"/>
        </w:rPr>
        <w:t xml:space="preserve"> </w:t>
      </w:r>
      <w:r w:rsidRPr="00692D15">
        <w:rPr>
          <w:b/>
          <w:noProof/>
          <w:sz w:val="32"/>
          <w:szCs w:val="32"/>
          <w:lang w:eastAsia="da-DK"/>
        </w:rPr>
        <w:drawing>
          <wp:inline distT="0" distB="0" distL="0" distR="0">
            <wp:extent cx="2971800" cy="723900"/>
            <wp:effectExtent l="19050" t="0" r="0" b="0"/>
            <wp:docPr id="1" name="Billede 1" descr="logo_m_uddannelse_for_unge_og_voksne_en_li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_m_uddannelse_for_unge_og_voksne_en_lin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15" w:rsidRPr="00692D15" w:rsidRDefault="00692D15" w:rsidP="00692D15">
      <w:pPr>
        <w:spacing w:after="0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4831A3">
        <w:rPr>
          <w:b/>
          <w:sz w:val="20"/>
          <w:szCs w:val="20"/>
        </w:rPr>
        <w:t xml:space="preserve">     </w:t>
      </w:r>
      <w:r w:rsidRPr="00692D15">
        <w:rPr>
          <w:sz w:val="20"/>
          <w:szCs w:val="20"/>
        </w:rPr>
        <w:t xml:space="preserve">København den </w:t>
      </w:r>
      <w:r w:rsidR="00CD19A9">
        <w:rPr>
          <w:sz w:val="20"/>
          <w:szCs w:val="20"/>
        </w:rPr>
        <w:t>25</w:t>
      </w:r>
      <w:r w:rsidR="004831A3">
        <w:rPr>
          <w:sz w:val="20"/>
          <w:szCs w:val="20"/>
        </w:rPr>
        <w:t xml:space="preserve">. august </w:t>
      </w:r>
      <w:r w:rsidRPr="00692D15">
        <w:rPr>
          <w:sz w:val="20"/>
          <w:szCs w:val="20"/>
        </w:rPr>
        <w:t>2010</w:t>
      </w:r>
    </w:p>
    <w:p w:rsidR="00692D15" w:rsidRDefault="00692D15" w:rsidP="00692D15">
      <w:pPr>
        <w:spacing w:after="0"/>
        <w:jc w:val="center"/>
        <w:rPr>
          <w:b/>
          <w:sz w:val="32"/>
          <w:szCs w:val="32"/>
        </w:rPr>
      </w:pPr>
    </w:p>
    <w:p w:rsidR="00692D15" w:rsidRDefault="00692D15" w:rsidP="00692D15">
      <w:pPr>
        <w:spacing w:after="0"/>
        <w:jc w:val="center"/>
        <w:rPr>
          <w:b/>
          <w:sz w:val="32"/>
          <w:szCs w:val="32"/>
        </w:rPr>
      </w:pPr>
    </w:p>
    <w:p w:rsidR="00AC2BA7" w:rsidRDefault="00AC2BA7" w:rsidP="00692D15">
      <w:pPr>
        <w:spacing w:after="0"/>
        <w:jc w:val="center"/>
        <w:rPr>
          <w:b/>
          <w:sz w:val="32"/>
          <w:szCs w:val="32"/>
        </w:rPr>
      </w:pPr>
    </w:p>
    <w:p w:rsidR="00692D15" w:rsidRPr="00AC2BA7" w:rsidRDefault="00692D15" w:rsidP="00692D15">
      <w:pPr>
        <w:spacing w:after="0"/>
        <w:jc w:val="center"/>
        <w:rPr>
          <w:b/>
          <w:sz w:val="40"/>
          <w:szCs w:val="40"/>
        </w:rPr>
      </w:pPr>
      <w:r w:rsidRPr="00AC2BA7">
        <w:rPr>
          <w:b/>
          <w:sz w:val="40"/>
          <w:szCs w:val="40"/>
        </w:rPr>
        <w:t xml:space="preserve">Uddannelsespolitisk konference om hf </w:t>
      </w:r>
    </w:p>
    <w:p w:rsidR="00692D15" w:rsidRPr="00AC2BA7" w:rsidRDefault="00692D15" w:rsidP="00692D15">
      <w:pPr>
        <w:spacing w:after="0"/>
        <w:jc w:val="center"/>
        <w:rPr>
          <w:b/>
          <w:sz w:val="40"/>
          <w:szCs w:val="40"/>
        </w:rPr>
      </w:pPr>
      <w:r w:rsidRPr="00AC2BA7">
        <w:rPr>
          <w:b/>
          <w:sz w:val="40"/>
          <w:szCs w:val="40"/>
        </w:rPr>
        <w:t xml:space="preserve">og CeFU’s undersøgelse ”Hf på VUC – et andet valg” </w:t>
      </w:r>
    </w:p>
    <w:p w:rsidR="00692D15" w:rsidRDefault="00692D15" w:rsidP="00692D1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fredag den 1</w:t>
      </w:r>
      <w:r w:rsidR="004831A3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</w:t>
      </w:r>
      <w:r w:rsidR="004831A3">
        <w:rPr>
          <w:b/>
          <w:sz w:val="32"/>
          <w:szCs w:val="32"/>
        </w:rPr>
        <w:t>september 2010</w:t>
      </w:r>
      <w:r>
        <w:rPr>
          <w:b/>
          <w:sz w:val="32"/>
          <w:szCs w:val="32"/>
        </w:rPr>
        <w:t xml:space="preserve"> kl. 10.00 – 13.00</w:t>
      </w:r>
    </w:p>
    <w:p w:rsidR="00692D15" w:rsidRDefault="00692D15" w:rsidP="00692D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på DPU i Emdrup</w:t>
      </w:r>
    </w:p>
    <w:p w:rsidR="003E131F" w:rsidRDefault="003E131F"/>
    <w:p w:rsidR="00692D15" w:rsidRDefault="00692D15" w:rsidP="00AC39EA">
      <w:pPr>
        <w:jc w:val="both"/>
      </w:pPr>
      <w:r>
        <w:t xml:space="preserve">Lederforeningen for VUC inviterer hermed til uddannelsespolitisk konference om hf. På konferencen vil undersøgelsen </w:t>
      </w:r>
      <w:r w:rsidR="001B6F28">
        <w:t>”</w:t>
      </w:r>
      <w:r>
        <w:t>HF på VUC – et andet valg</w:t>
      </w:r>
      <w:r w:rsidR="001B6F28">
        <w:t>”</w:t>
      </w:r>
      <w:r>
        <w:t xml:space="preserve"> blive præsenteret af Center for Ungdomsforskning</w:t>
      </w:r>
      <w:r w:rsidR="00AC39EA">
        <w:t xml:space="preserve"> (CeFU)</w:t>
      </w:r>
      <w:r>
        <w:t>, og undersøgelsesrapporten vil blive udleveret til deltagerne</w:t>
      </w:r>
      <w:r w:rsidR="001B6F28">
        <w:t xml:space="preserve"> på konferencen</w:t>
      </w:r>
      <w:r>
        <w:t>.</w:t>
      </w:r>
    </w:p>
    <w:p w:rsidR="001B6F28" w:rsidRDefault="001B6F28" w:rsidP="00AC39EA">
      <w:pPr>
        <w:jc w:val="both"/>
      </w:pPr>
      <w:r>
        <w:t xml:space="preserve">Undersøgelsen sætter fokus på hf-kursisternes oplevelse af hf på VUC. Med udgangspunkt i et omfattende spørgeskema har 5.000 kursister </w:t>
      </w:r>
      <w:r w:rsidR="00AC39EA">
        <w:t xml:space="preserve">blandt andet </w:t>
      </w:r>
      <w:r>
        <w:t>forholdt sig til emner som undervisningen på hf, det sociale liv på hf, valget af hf og fremtidsplaner. Undersøgelsen giver således et enestående indblik i kursister</w:t>
      </w:r>
      <w:r w:rsidR="001A5E83">
        <w:t xml:space="preserve">nes oplevelse af </w:t>
      </w:r>
      <w:r w:rsidR="00067828">
        <w:t xml:space="preserve">deres dagligdag på </w:t>
      </w:r>
      <w:r w:rsidR="001A5E83">
        <w:t>hf og er et godt pejlemærke i forhold til drøftelserne af, hvordan VUC bedst indretter hf-uddannelsen og tager højde for kursisternes erfaring</w:t>
      </w:r>
      <w:r w:rsidR="00967E4D">
        <w:t>sverden og deres forestillinger om videre uddannelse efter hf.</w:t>
      </w:r>
    </w:p>
    <w:p w:rsidR="00967E4D" w:rsidRDefault="00967E4D" w:rsidP="00AC39EA">
      <w:pPr>
        <w:jc w:val="both"/>
      </w:pPr>
      <w:r>
        <w:t>Undersøgelsen er blevet til på initiativ af Lederforeningen for VUC, der også har finansieret undersøgelsen sammen med de 2</w:t>
      </w:r>
      <w:r w:rsidR="004831A3">
        <w:t>5</w:t>
      </w:r>
      <w:r>
        <w:t xml:space="preserve"> voksenuddannelsescentre, der har fået foretaget institutionsspecifikke særkørsler</w:t>
      </w:r>
      <w:r w:rsidR="00676863">
        <w:t xml:space="preserve"> af resultaterne</w:t>
      </w:r>
      <w:r>
        <w:t>. Desuden har Gymnasieskolernes Lærerforening (GL) og Undervisningsministeriet ydet</w:t>
      </w:r>
      <w:r w:rsidR="000F26C9">
        <w:t xml:space="preserve"> </w:t>
      </w:r>
      <w:r>
        <w:t>økonomisk støtte til undersøgelsen</w:t>
      </w:r>
      <w:r w:rsidR="00DF0185">
        <w:t>s gennemførelse</w:t>
      </w:r>
      <w:r>
        <w:t>.</w:t>
      </w:r>
    </w:p>
    <w:p w:rsidR="00967E4D" w:rsidRDefault="00676863" w:rsidP="00AC39EA">
      <w:pPr>
        <w:jc w:val="both"/>
      </w:pPr>
      <w:r>
        <w:t>Der vil p</w:t>
      </w:r>
      <w:r w:rsidR="00067828">
        <w:t xml:space="preserve">å konferencen også </w:t>
      </w:r>
      <w:r>
        <w:t>blive lejlighed til at belyse</w:t>
      </w:r>
      <w:r w:rsidR="00DF0185">
        <w:t>, hvad hf’erne efterfølgende foretager af studievalg, og hvilke uddannelser de</w:t>
      </w:r>
      <w:r w:rsidR="00AC39EA">
        <w:t xml:space="preserve"> især søger ind på. </w:t>
      </w:r>
      <w:r>
        <w:t xml:space="preserve">Dette giver mulighed for at fokusere på vigtige </w:t>
      </w:r>
      <w:r w:rsidR="00AC39EA">
        <w:t xml:space="preserve">spørgsmål som </w:t>
      </w:r>
      <w:r w:rsidR="00DF0185">
        <w:t>hf’ernes studiekompetencer og VUC’s rolle som leverandør til de videregående uddannelser.</w:t>
      </w:r>
    </w:p>
    <w:p w:rsidR="00DF0185" w:rsidRDefault="004F2177" w:rsidP="00AC39EA">
      <w:pPr>
        <w:jc w:val="both"/>
      </w:pPr>
      <w:r>
        <w:t>K</w:t>
      </w:r>
      <w:r w:rsidR="00AC2BA7">
        <w:t xml:space="preserve">onferencen </w:t>
      </w:r>
      <w:r>
        <w:t xml:space="preserve">vil </w:t>
      </w:r>
      <w:r w:rsidR="00AC2BA7">
        <w:t xml:space="preserve">give en </w:t>
      </w:r>
      <w:r w:rsidR="007268F3">
        <w:t xml:space="preserve">større viden om </w:t>
      </w:r>
      <w:r w:rsidR="00DF0185">
        <w:t xml:space="preserve">hf’s uddannelsespolitiske funktion og VUC’s rolle </w:t>
      </w:r>
      <w:r w:rsidR="007268F3">
        <w:t xml:space="preserve">som udbyder af hf. Paneldebatten, der afslutter konferencen, har til formål at sikre, at hf på VUC bliver belyst fra flere vinkler, og at dagens emne </w:t>
      </w:r>
      <w:r w:rsidR="00676863">
        <w:t xml:space="preserve">forhåbentlig </w:t>
      </w:r>
      <w:r w:rsidR="007268F3">
        <w:t>kan sætte gang i en livlig debat.</w:t>
      </w:r>
    </w:p>
    <w:p w:rsidR="007268F3" w:rsidRDefault="007268F3"/>
    <w:p w:rsidR="007268F3" w:rsidRDefault="00AC39EA">
      <w:r>
        <w:t>Vel mødt den 1</w:t>
      </w:r>
      <w:r w:rsidR="000F26C9">
        <w:t>7</w:t>
      </w:r>
      <w:r>
        <w:t xml:space="preserve">. </w:t>
      </w:r>
      <w:r w:rsidR="000F26C9">
        <w:t>september</w:t>
      </w:r>
      <w:r>
        <w:t>!</w:t>
      </w:r>
    </w:p>
    <w:p w:rsidR="007268F3" w:rsidRDefault="00AC2BA7">
      <w:r>
        <w:lastRenderedPageBreak/>
        <w:t>Med venlig hilsen.</w:t>
      </w:r>
    </w:p>
    <w:p w:rsidR="00AC2BA7" w:rsidRDefault="00AC2BA7">
      <w:r>
        <w:t xml:space="preserve">Lederforeningen for VUC </w:t>
      </w:r>
    </w:p>
    <w:p w:rsidR="00AC2BA7" w:rsidRDefault="00AC2BA7">
      <w:pPr>
        <w:pBdr>
          <w:bottom w:val="single" w:sz="6" w:space="1" w:color="auto"/>
        </w:pBdr>
      </w:pPr>
    </w:p>
    <w:p w:rsidR="00676863" w:rsidRDefault="00676863">
      <w:pPr>
        <w:pBdr>
          <w:bottom w:val="single" w:sz="6" w:space="1" w:color="auto"/>
        </w:pBdr>
      </w:pPr>
    </w:p>
    <w:p w:rsidR="007268F3" w:rsidRPr="00CE346B" w:rsidRDefault="007268F3" w:rsidP="007268F3">
      <w:pPr>
        <w:spacing w:line="192" w:lineRule="auto"/>
        <w:ind w:left="1440" w:hanging="1440"/>
        <w:rPr>
          <w:b/>
        </w:rPr>
      </w:pPr>
      <w:r w:rsidRPr="00CE346B">
        <w:rPr>
          <w:b/>
        </w:rPr>
        <w:t>Praktiske oplysninger</w:t>
      </w:r>
      <w:r>
        <w:rPr>
          <w:b/>
        </w:rPr>
        <w:t>:</w:t>
      </w:r>
    </w:p>
    <w:p w:rsidR="007268F3" w:rsidRDefault="007268F3" w:rsidP="007268F3">
      <w:pPr>
        <w:spacing w:line="192" w:lineRule="auto"/>
        <w:ind w:left="1440" w:hanging="1440"/>
      </w:pPr>
    </w:p>
    <w:p w:rsidR="007268F3" w:rsidRDefault="007268F3" w:rsidP="007268F3">
      <w:pPr>
        <w:spacing w:after="100"/>
        <w:ind w:left="2340" w:hanging="2340"/>
      </w:pPr>
      <w:r>
        <w:t>Tid</w:t>
      </w:r>
      <w:r>
        <w:tab/>
        <w:t>Fredag den 1</w:t>
      </w:r>
      <w:r w:rsidR="006E7D65">
        <w:t>7</w:t>
      </w:r>
      <w:r>
        <w:t xml:space="preserve">. </w:t>
      </w:r>
      <w:r w:rsidR="006E7D65">
        <w:t>september</w:t>
      </w:r>
      <w:r>
        <w:t xml:space="preserve"> kl. 10.00 – 13.00. Fra kl. 9.30 serveres der kaffe.</w:t>
      </w:r>
    </w:p>
    <w:p w:rsidR="007268F3" w:rsidRDefault="007268F3" w:rsidP="007268F3">
      <w:pPr>
        <w:ind w:left="2340" w:hanging="2340"/>
      </w:pPr>
      <w:r>
        <w:t>Sted</w:t>
      </w:r>
      <w:r>
        <w:tab/>
        <w:t>Danmarks Pædagogiske Universitetsskole, Aarhus Universitet, Tuborgvej 164, 24</w:t>
      </w:r>
      <w:r w:rsidR="00AC2BA7">
        <w:t>0</w:t>
      </w:r>
      <w:r>
        <w:t xml:space="preserve">0 København NV, tlf. </w:t>
      </w:r>
      <w:r w:rsidR="00AC2BA7">
        <w:t xml:space="preserve">88 88 90 00. Henvendelse i receptionen. </w:t>
      </w:r>
    </w:p>
    <w:p w:rsidR="007268F3" w:rsidRDefault="007268F3" w:rsidP="007268F3">
      <w:pPr>
        <w:spacing w:after="100"/>
        <w:ind w:left="2340" w:hanging="2340"/>
      </w:pPr>
      <w:r>
        <w:t>Tilmelding</w:t>
      </w:r>
      <w:r>
        <w:tab/>
        <w:t xml:space="preserve">sendes til </w:t>
      </w:r>
      <w:hyperlink r:id="rId5" w:history="1">
        <w:r w:rsidRPr="0002767F">
          <w:rPr>
            <w:rStyle w:val="Hyperlink"/>
          </w:rPr>
          <w:t>mah@vuc.dk</w:t>
        </w:r>
      </w:hyperlink>
    </w:p>
    <w:p w:rsidR="007268F3" w:rsidRDefault="007268F3" w:rsidP="007268F3">
      <w:pPr>
        <w:spacing w:after="100"/>
        <w:ind w:left="2340" w:hanging="2340"/>
      </w:pPr>
      <w:r>
        <w:t>Frist</w:t>
      </w:r>
      <w:r>
        <w:tab/>
        <w:t xml:space="preserve">Sidste frist for tilmelding er </w:t>
      </w:r>
      <w:r w:rsidR="004831A3">
        <w:t>8</w:t>
      </w:r>
      <w:r>
        <w:t xml:space="preserve">. </w:t>
      </w:r>
      <w:r w:rsidR="004831A3">
        <w:t>september</w:t>
      </w:r>
      <w:r w:rsidR="00AC2BA7">
        <w:t xml:space="preserve"> </w:t>
      </w:r>
      <w:r>
        <w:t>2010.</w:t>
      </w:r>
    </w:p>
    <w:p w:rsidR="00AC2BA7" w:rsidRDefault="007268F3" w:rsidP="00AC2BA7">
      <w:pPr>
        <w:ind w:left="2340" w:hanging="2340"/>
      </w:pPr>
      <w:r>
        <w:t>Pris</w:t>
      </w:r>
      <w:r>
        <w:tab/>
      </w:r>
      <w:r w:rsidR="00AC2BA7">
        <w:t xml:space="preserve">Deltagelse er gratis. </w:t>
      </w:r>
    </w:p>
    <w:p w:rsidR="007268F3" w:rsidRDefault="007268F3" w:rsidP="007268F3">
      <w:pPr>
        <w:ind w:left="2340" w:hanging="234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600"/>
        <w:gridCol w:w="867"/>
        <w:gridCol w:w="2733"/>
      </w:tblGrid>
      <w:tr w:rsidR="00AC2BA7" w:rsidTr="00934751">
        <w:tc>
          <w:tcPr>
            <w:tcW w:w="244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2BA7" w:rsidRDefault="00AC2BA7" w:rsidP="00934751">
            <w:pPr>
              <w:spacing w:line="216" w:lineRule="auto"/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524510" cy="540385"/>
                  <wp:effectExtent l="19050" t="0" r="8890" b="0"/>
                  <wp:docPr id="3" name="Billede 3" descr="MCj040597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40597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2BA7" w:rsidRDefault="00AC2BA7" w:rsidP="00934751">
            <w:pPr>
              <w:spacing w:line="216" w:lineRule="auto"/>
            </w:pPr>
          </w:p>
          <w:p w:rsidR="00AC2BA7" w:rsidRPr="00B049A1" w:rsidRDefault="00AC2BA7" w:rsidP="00934751">
            <w:pPr>
              <w:spacing w:line="216" w:lineRule="auto"/>
              <w:rPr>
                <w:sz w:val="40"/>
                <w:szCs w:val="40"/>
              </w:rPr>
            </w:pPr>
            <w:r w:rsidRPr="00B049A1">
              <w:rPr>
                <w:sz w:val="40"/>
                <w:szCs w:val="40"/>
              </w:rPr>
              <w:t>Tilmelding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2BA7" w:rsidRPr="00B049A1" w:rsidRDefault="00AC2BA7" w:rsidP="00934751">
            <w:pPr>
              <w:ind w:left="1440" w:hanging="1440"/>
              <w:rPr>
                <w:b/>
              </w:rPr>
            </w:pPr>
          </w:p>
          <w:p w:rsidR="00AC2BA7" w:rsidRDefault="00AC2BA7" w:rsidP="00934751">
            <w:pPr>
              <w:ind w:left="1440" w:hanging="1440"/>
              <w:jc w:val="right"/>
            </w:pPr>
          </w:p>
        </w:tc>
      </w:tr>
      <w:tr w:rsidR="00AC2BA7" w:rsidTr="00934751">
        <w:trPr>
          <w:trHeight w:hRule="exact"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BA7" w:rsidRPr="00B049A1" w:rsidRDefault="00AC2BA7" w:rsidP="00934751">
            <w:pPr>
              <w:spacing w:before="100" w:line="216" w:lineRule="auto"/>
              <w:rPr>
                <w:sz w:val="20"/>
                <w:szCs w:val="20"/>
              </w:rPr>
            </w:pPr>
            <w:r w:rsidRPr="00B049A1">
              <w:rPr>
                <w:sz w:val="20"/>
                <w:szCs w:val="20"/>
              </w:rPr>
              <w:t>Navn: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</w:tr>
      <w:tr w:rsidR="00AC2BA7" w:rsidTr="00934751">
        <w:trPr>
          <w:trHeight w:hRule="exact"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BA7" w:rsidRPr="00B049A1" w:rsidRDefault="00AC2BA7" w:rsidP="00934751">
            <w:pPr>
              <w:spacing w:line="216" w:lineRule="auto"/>
              <w:rPr>
                <w:sz w:val="20"/>
                <w:szCs w:val="20"/>
              </w:rPr>
            </w:pPr>
            <w:r w:rsidRPr="00B049A1">
              <w:rPr>
                <w:sz w:val="20"/>
                <w:szCs w:val="20"/>
              </w:rPr>
              <w:t>Titel: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</w:tr>
      <w:tr w:rsidR="00AC2BA7" w:rsidTr="00934751">
        <w:trPr>
          <w:trHeight w:hRule="exact"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BA7" w:rsidRPr="00B049A1" w:rsidRDefault="00AC2BA7" w:rsidP="00934751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</w:t>
            </w:r>
            <w:r w:rsidRPr="00B049A1">
              <w:rPr>
                <w:sz w:val="20"/>
                <w:szCs w:val="20"/>
              </w:rPr>
              <w:t>: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</w:tr>
      <w:tr w:rsidR="00AC2BA7" w:rsidTr="00934751">
        <w:trPr>
          <w:trHeight w:hRule="exact"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BA7" w:rsidRPr="00B049A1" w:rsidRDefault="00AC2BA7" w:rsidP="00934751">
            <w:pPr>
              <w:spacing w:line="216" w:lineRule="auto"/>
              <w:rPr>
                <w:sz w:val="20"/>
                <w:szCs w:val="20"/>
              </w:rPr>
            </w:pPr>
            <w:r w:rsidRPr="00B049A1">
              <w:rPr>
                <w:sz w:val="20"/>
                <w:szCs w:val="20"/>
              </w:rPr>
              <w:t>Adresse: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</w:tr>
      <w:tr w:rsidR="00AC2BA7" w:rsidTr="00934751">
        <w:trPr>
          <w:trHeight w:hRule="exact"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BA7" w:rsidRPr="00B049A1" w:rsidRDefault="00AC2BA7" w:rsidP="00934751">
            <w:pPr>
              <w:spacing w:line="216" w:lineRule="auto"/>
              <w:rPr>
                <w:sz w:val="20"/>
                <w:szCs w:val="20"/>
              </w:rPr>
            </w:pPr>
            <w:r w:rsidRPr="00B049A1">
              <w:rPr>
                <w:sz w:val="20"/>
                <w:szCs w:val="20"/>
              </w:rPr>
              <w:t>Email: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</w:tr>
      <w:tr w:rsidR="00AC2BA7" w:rsidTr="00934751">
        <w:trPr>
          <w:trHeight w:hRule="exact"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BA7" w:rsidRPr="00B049A1" w:rsidRDefault="00AC2BA7" w:rsidP="00934751">
            <w:pPr>
              <w:spacing w:line="216" w:lineRule="auto"/>
              <w:rPr>
                <w:sz w:val="20"/>
                <w:szCs w:val="20"/>
              </w:rPr>
            </w:pPr>
            <w:r w:rsidRPr="00B049A1">
              <w:rPr>
                <w:sz w:val="20"/>
                <w:szCs w:val="20"/>
              </w:rPr>
              <w:t>Telefon: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2BA7" w:rsidRDefault="00AC2BA7" w:rsidP="00934751">
            <w:pPr>
              <w:spacing w:line="216" w:lineRule="auto"/>
            </w:pPr>
          </w:p>
        </w:tc>
      </w:tr>
    </w:tbl>
    <w:p w:rsidR="007268F3" w:rsidRDefault="007268F3"/>
    <w:p w:rsidR="007268F3" w:rsidRDefault="007268F3"/>
    <w:p w:rsidR="00DF0185" w:rsidRDefault="00DF0185"/>
    <w:sectPr w:rsidR="00DF0185" w:rsidSect="003E13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92D15"/>
    <w:rsid w:val="00067828"/>
    <w:rsid w:val="000B3A10"/>
    <w:rsid w:val="000F26C9"/>
    <w:rsid w:val="00115E1F"/>
    <w:rsid w:val="001A5E83"/>
    <w:rsid w:val="001B6F28"/>
    <w:rsid w:val="002B1689"/>
    <w:rsid w:val="003E131F"/>
    <w:rsid w:val="004831A3"/>
    <w:rsid w:val="004A55B3"/>
    <w:rsid w:val="004F2177"/>
    <w:rsid w:val="00676863"/>
    <w:rsid w:val="00692D15"/>
    <w:rsid w:val="006E7D65"/>
    <w:rsid w:val="007268F3"/>
    <w:rsid w:val="008C50BE"/>
    <w:rsid w:val="009017C0"/>
    <w:rsid w:val="00967E4D"/>
    <w:rsid w:val="00AC2BA7"/>
    <w:rsid w:val="00AC39EA"/>
    <w:rsid w:val="00B43F7B"/>
    <w:rsid w:val="00CD19A9"/>
    <w:rsid w:val="00DA15D7"/>
    <w:rsid w:val="00DF0185"/>
    <w:rsid w:val="00E0241D"/>
    <w:rsid w:val="00E22B0B"/>
    <w:rsid w:val="00F0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1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2D1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268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mah@vuc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Justsen</dc:creator>
  <cp:keywords/>
  <dc:description/>
  <cp:lastModifiedBy>agr</cp:lastModifiedBy>
  <cp:revision>2</cp:revision>
  <cp:lastPrinted>2010-05-21T09:28:00Z</cp:lastPrinted>
  <dcterms:created xsi:type="dcterms:W3CDTF">2010-09-15T09:01:00Z</dcterms:created>
  <dcterms:modified xsi:type="dcterms:W3CDTF">2010-09-15T09:01:00Z</dcterms:modified>
</cp:coreProperties>
</file>